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R5-217684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38.521-1_Corrections of test cases having impact on ETSI EN 301 908 25</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imes New Roman"/>
                <w:lang w:val="en-US" w:eastAsia="zh-Hans"/>
              </w:rPr>
            </w:pPr>
            <w:r>
              <w:rPr>
                <w:rFonts w:hint="eastAsia"/>
                <w:lang w:val="en-US" w:eastAsia="zh-Hans"/>
              </w:rPr>
              <w:t>Some</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the</w:t>
            </w:r>
            <w:r>
              <w:rPr>
                <w:rFonts w:hint="default"/>
                <w:lang w:eastAsia="zh-Hans"/>
              </w:rPr>
              <w:t xml:space="preserve"> </w:t>
            </w:r>
            <w:r>
              <w:rPr>
                <w:rFonts w:hint="eastAsia"/>
                <w:lang w:val="en-US" w:eastAsia="zh-Hans"/>
              </w:rPr>
              <w:t>Editorial</w:t>
            </w:r>
            <w:r>
              <w:rPr>
                <w:rFonts w:hint="default"/>
                <w:lang w:eastAsia="zh-Hans"/>
              </w:rPr>
              <w:t xml:space="preserve"> </w:t>
            </w:r>
            <w:r>
              <w:rPr>
                <w:rFonts w:hint="eastAsia"/>
                <w:lang w:val="en-US" w:eastAsia="zh-Hans"/>
              </w:rPr>
              <w:t>issues</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clause</w:t>
            </w:r>
            <w:r>
              <w:rPr>
                <w:rFonts w:hint="default"/>
                <w:lang w:eastAsia="zh-Hans"/>
              </w:rPr>
              <w:t xml:space="preserve"> 6 which have impact on The ETSI EN 301 908 25 have been spotted. The test cases need to be updated.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Editorial corrections in TC 6.2D.1</w:t>
            </w:r>
          </w:p>
          <w:p>
            <w:pPr>
              <w:pStyle w:val="81"/>
              <w:spacing w:after="0"/>
              <w:ind w:left="100"/>
            </w:pPr>
            <w:r>
              <w:t>Editorial corrections in TC 6.</w:t>
            </w:r>
            <w:r>
              <w:t>5.2.2</w:t>
            </w:r>
          </w:p>
          <w:p>
            <w:pPr>
              <w:pStyle w:val="81"/>
              <w:spacing w:after="0"/>
              <w:ind w:left="100"/>
            </w:pPr>
            <w:r>
              <w:t>Editorial corrections in TC 6.</w:t>
            </w:r>
            <w:r>
              <w:t>5.2.3</w:t>
            </w:r>
          </w:p>
          <w:p>
            <w:pPr>
              <w:pStyle w:val="81"/>
              <w:spacing w:after="0"/>
              <w:ind w:left="100"/>
            </w:pPr>
            <w:r>
              <w:t>Editorial corrections in TC 6.</w:t>
            </w:r>
            <w:r>
              <w:t>5</w:t>
            </w:r>
            <w:r>
              <w:rPr>
                <w:rFonts w:hint="eastAsia"/>
                <w:lang w:val="en-US" w:eastAsia="zh-Hans"/>
              </w:rPr>
              <w:t>D.2.3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Some</w:t>
            </w:r>
            <w:r>
              <w:rPr>
                <w:rFonts w:hint="default"/>
                <w:lang w:eastAsia="zh-Hans"/>
              </w:rPr>
              <w:t xml:space="preserve"> </w:t>
            </w:r>
            <w:r>
              <w:rPr>
                <w:rFonts w:hint="eastAsia"/>
                <w:lang w:val="en-US" w:eastAsia="zh-Hans"/>
              </w:rPr>
              <w:t>TCs</w:t>
            </w:r>
            <w:r>
              <w:rPr>
                <w:rFonts w:hint="default"/>
                <w:lang w:eastAsia="zh-Hans"/>
              </w:rPr>
              <w:t xml:space="preserve"> </w:t>
            </w:r>
            <w:r>
              <w:rPr>
                <w:rFonts w:hint="eastAsia"/>
                <w:lang w:eastAsia="zh-CN"/>
              </w:rPr>
              <w:t>will remain incorrect.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6.2.1 6.2</w:t>
            </w:r>
            <w:r>
              <w:rPr>
                <w:rFonts w:hint="eastAsia"/>
                <w:lang w:val="en-US" w:eastAsia="zh-Hans"/>
              </w:rPr>
              <w:t>D.1</w:t>
            </w:r>
            <w:r>
              <w:rPr>
                <w:rFonts w:hint="default"/>
                <w:lang w:eastAsia="zh-Hans"/>
              </w:rPr>
              <w:t xml:space="preserve"> 6.5.2.2 6.5.2.3 6.5</w:t>
            </w:r>
            <w:r>
              <w:rPr>
                <w:rFonts w:hint="eastAsia"/>
                <w:lang w:val="en-US" w:eastAsia="zh-Hans"/>
              </w:rPr>
              <w:t>D.2.3</w:t>
            </w:r>
            <w:bookmarkStart w:id="321" w:name="_GoBack"/>
            <w:bookmarkEnd w:id="321"/>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w:t>
      </w:r>
      <w:r>
        <w:rPr>
          <w:rFonts w:hint="eastAsia"/>
          <w:color w:val="FF0000"/>
          <w:lang w:val="en-US" w:eastAsia="zh-Hans"/>
        </w:rPr>
        <w:t>Start</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pPr>
        <w:pStyle w:val="4"/>
        <w:rPr>
          <w:rFonts w:eastAsia="宋体"/>
          <w:lang w:eastAsia="zh-CN"/>
        </w:rPr>
      </w:pPr>
      <w:bookmarkStart w:id="1" w:name="_Toc60823076"/>
      <w:bookmarkStart w:id="2" w:name="_Toc69305895"/>
      <w:bookmarkStart w:id="3" w:name="_Toc69309747"/>
      <w:bookmarkStart w:id="4" w:name="_Toc76020059"/>
      <w:bookmarkStart w:id="5" w:name="_Toc27477786"/>
      <w:bookmarkStart w:id="6" w:name="_Toc52989885"/>
      <w:bookmarkStart w:id="7" w:name="_Toc36226465"/>
      <w:bookmarkStart w:id="8" w:name="_Toc83720529"/>
      <w:bookmarkStart w:id="9" w:name="_Toc44323720"/>
      <w:bookmarkStart w:id="10" w:name="_Toc60824998"/>
      <w:r>
        <w:t>6.2.1</w:t>
      </w:r>
      <w:r>
        <w:tab/>
      </w:r>
      <w:r>
        <w:t>UE maximum output power</w:t>
      </w:r>
      <w:bookmarkEnd w:id="1"/>
      <w:bookmarkEnd w:id="2"/>
      <w:bookmarkEnd w:id="3"/>
      <w:bookmarkEnd w:id="4"/>
      <w:bookmarkEnd w:id="5"/>
      <w:bookmarkEnd w:id="6"/>
      <w:bookmarkEnd w:id="7"/>
      <w:bookmarkEnd w:id="8"/>
      <w:bookmarkEnd w:id="9"/>
      <w:bookmarkEnd w:id="10"/>
    </w:p>
    <w:p>
      <w:pPr>
        <w:pStyle w:val="74"/>
        <w:rPr>
          <w:lang w:eastAsia="zh-CN"/>
        </w:rPr>
      </w:pPr>
      <w:r>
        <w:rPr>
          <w:lang w:eastAsia="zh-CN"/>
        </w:rPr>
        <w:t>Editor’s Note: The following aspects are not yet determined:</w:t>
      </w:r>
    </w:p>
    <w:p>
      <w:pPr>
        <w:pStyle w:val="74"/>
      </w:pPr>
      <w:r>
        <w:t xml:space="preserve">- </w:t>
      </w:r>
      <w:r>
        <w:rPr>
          <w:rFonts w:eastAsia="宋体"/>
          <w:lang w:eastAsia="zh-CN"/>
        </w:rPr>
        <w:t>PC1 requirements for NR operating bands other than Band n14 are not defined in RAN4 Rel-15 and Rel-16 specifications.</w:t>
      </w:r>
    </w:p>
    <w:p>
      <w:pPr>
        <w:pStyle w:val="8"/>
      </w:pPr>
      <w:bookmarkStart w:id="11" w:name="_Toc60824999"/>
      <w:bookmarkStart w:id="12" w:name="_Toc52989886"/>
      <w:bookmarkStart w:id="13" w:name="_Toc60823077"/>
      <w:bookmarkStart w:id="14" w:name="_Toc27477787"/>
      <w:bookmarkStart w:id="15" w:name="_Toc44323721"/>
      <w:bookmarkStart w:id="16" w:name="_Toc36226466"/>
      <w:bookmarkStart w:id="17" w:name="_Toc69305896"/>
      <w:r>
        <w:t>6.2.1.1</w:t>
      </w:r>
      <w:r>
        <w:tab/>
      </w:r>
      <w:r>
        <w:t>Test purpose</w:t>
      </w:r>
      <w:bookmarkEnd w:id="11"/>
      <w:bookmarkEnd w:id="12"/>
      <w:bookmarkEnd w:id="13"/>
      <w:bookmarkEnd w:id="14"/>
      <w:bookmarkEnd w:id="15"/>
      <w:bookmarkEnd w:id="16"/>
      <w:bookmarkEnd w:id="17"/>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18" w:name="_Toc27477788"/>
      <w:bookmarkStart w:id="19" w:name="_Toc44323722"/>
      <w:bookmarkStart w:id="20" w:name="_Toc60823078"/>
      <w:bookmarkStart w:id="21" w:name="_Toc69305897"/>
      <w:bookmarkStart w:id="22" w:name="_Toc60825000"/>
      <w:bookmarkStart w:id="23" w:name="_Toc36226467"/>
      <w:bookmarkStart w:id="24" w:name="_Toc52989887"/>
      <w:r>
        <w:t>6.2.1.2</w:t>
      </w:r>
      <w:r>
        <w:tab/>
      </w:r>
      <w:r>
        <w:t>Test applicability</w:t>
      </w:r>
      <w:bookmarkEnd w:id="18"/>
      <w:bookmarkEnd w:id="19"/>
      <w:bookmarkEnd w:id="20"/>
      <w:bookmarkEnd w:id="21"/>
      <w:bookmarkEnd w:id="22"/>
      <w:bookmarkEnd w:id="23"/>
      <w:bookmarkEnd w:id="24"/>
    </w:p>
    <w:p>
      <w:r>
        <w:t>This test case applies to all types of NR Power Class 1, 1.5, 2 and 3 UE release 15 and forward.</w:t>
      </w:r>
    </w:p>
    <w:p>
      <w:pPr>
        <w:pStyle w:val="8"/>
      </w:pPr>
      <w:bookmarkStart w:id="25" w:name="_Toc60825001"/>
      <w:bookmarkStart w:id="26" w:name="_Toc44323723"/>
      <w:bookmarkStart w:id="27" w:name="_Toc69305898"/>
      <w:bookmarkStart w:id="28" w:name="_Toc52989888"/>
      <w:bookmarkStart w:id="29" w:name="_Toc36226468"/>
      <w:bookmarkStart w:id="30" w:name="_Toc27477789"/>
      <w:bookmarkStart w:id="31" w:name="_Toc60823079"/>
      <w:r>
        <w:t>6.2.1.3</w:t>
      </w:r>
      <w:r>
        <w:tab/>
      </w:r>
      <w:r>
        <w:t>Minimum conformance requirements</w:t>
      </w:r>
      <w:bookmarkEnd w:id="25"/>
      <w:bookmarkEnd w:id="26"/>
      <w:bookmarkEnd w:id="27"/>
      <w:bookmarkEnd w:id="28"/>
      <w:bookmarkEnd w:id="29"/>
      <w:bookmarkEnd w:id="30"/>
      <w:bookmarkEnd w:id="31"/>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5"/>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1003"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1.5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2 (dBm)</w:t>
            </w:r>
          </w:p>
        </w:tc>
        <w:tc>
          <w:tcPr>
            <w:tcW w:w="126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1"/>
            </w:pPr>
            <w:r>
              <w:t>Class 3 (dBm)</w:t>
            </w:r>
          </w:p>
        </w:tc>
        <w:tc>
          <w:tcPr>
            <w:tcW w:w="1261"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n28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29</w:t>
            </w:r>
            <w:r>
              <w:rPr>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n48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n50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n65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rPr>
                <w:lang w:eastAsia="ja-JP"/>
              </w:rP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n95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97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25"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P</w:t>
            </w:r>
            <w:r>
              <w:rPr>
                <w:vertAlign w:val="subscript"/>
              </w:rPr>
              <w:t>PowerClass</w:t>
            </w:r>
            <w:r>
              <w:t xml:space="preserve"> is the maximum UE power specified without taking into account the tolerance</w:t>
            </w:r>
            <w:ins w:id="0" w:author="Yu SHI-China Unicom" w:date="2021-11-09T14:55:54Z">
              <w:r>
                <w:rPr/>
                <w:t>.</w:t>
              </w:r>
            </w:ins>
            <w:r>
              <w:t xml:space="preserve"> </w:t>
            </w:r>
          </w:p>
          <w:p>
            <w:pPr>
              <w:pStyle w:val="66"/>
            </w:pPr>
            <w:r>
              <w:t>NOTE 2:</w:t>
            </w:r>
            <w:r>
              <w:tab/>
            </w:r>
            <w:r>
              <w:t>Power class 3 is default power class unless otherwise stated</w:t>
            </w:r>
            <w:ins w:id="1" w:author="Yu SHI-China Unicom" w:date="2021-11-09T14:55:57Z">
              <w:r>
                <w:rPr/>
                <w:t>.</w:t>
              </w:r>
            </w:ins>
          </w:p>
          <w:p>
            <w:pPr>
              <w:pStyle w:val="66"/>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id="2" w:author="Yu SHI-China Unicom" w:date="2021-11-09T15:02:42Z">
              <w:r>
                <w:rPr>
                  <w:rFonts w:cs="Arial"/>
                </w:rPr>
                <w:t>.</w:t>
              </w:r>
            </w:ins>
          </w:p>
          <w:p>
            <w:pPr>
              <w:pStyle w:val="66"/>
            </w:pPr>
            <w:r>
              <w:t>NOTE 4:</w:t>
            </w:r>
            <w:r>
              <w:tab/>
            </w:r>
            <w:r>
              <w:t>FFS</w:t>
            </w:r>
          </w:p>
          <w:p>
            <w:pPr>
              <w:pStyle w:val="66"/>
            </w:pPr>
            <w:r>
              <w:t>NOTE 5:</w:t>
            </w:r>
            <w:r>
              <w:tab/>
            </w:r>
            <w:r>
              <w:t>FFS</w:t>
            </w:r>
          </w:p>
          <w:p>
            <w:pPr>
              <w:pStyle w:val="66"/>
            </w:pPr>
            <w:r>
              <w:t>NOTE 6:</w:t>
            </w:r>
            <w:r>
              <w:tab/>
            </w:r>
            <w:r>
              <w:t>Generally, PC1 UE for Band n14 is not targeted for smartphone form factor. The UE power class 1</w:t>
            </w:r>
            <w:ins w:id="3" w:author="Yu SHI-China Unicom" w:date="2021-11-09T15:02:36Z">
              <w:r>
                <w:rPr/>
                <w:t>.</w:t>
              </w:r>
            </w:ins>
            <w:r>
              <w:t xml:space="preserve"> requirements for Band n14 are applicable for public safety scenario only.</w:t>
            </w:r>
          </w:p>
          <w:p>
            <w:pPr>
              <w:pStyle w:val="66"/>
            </w:pPr>
            <w:r>
              <w:t>NOTE 7:</w:t>
            </w:r>
            <w:r>
              <w:tab/>
            </w:r>
            <w:r>
              <w:t>Achieved via dual Tx</w:t>
            </w:r>
            <w:ins w:id="4" w:author="Yu SHI-China Unicom" w:date="2021-11-09T15:02:46Z">
              <w:r>
                <w:rPr/>
                <w:t>.</w:t>
              </w:r>
            </w:ins>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75"/>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75"/>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w:t>
      </w:r>
      <w:ins w:id="5" w:author="Yu SHI-China Unicom" w:date="2021-11-09T15:02:58Z">
        <w:r>
          <w:rPr/>
          <w:t>[</w:t>
        </w:r>
      </w:ins>
      <w:ins w:id="6" w:author="Yu SHI-China Unicom" w:date="2021-11-09T15:03:07Z">
        <w:r>
          <w:rPr/>
          <w:t>6</w:t>
        </w:r>
      </w:ins>
      <w:ins w:id="7" w:author="Yu SHI-China Unicom" w:date="2021-11-09T15:02:59Z">
        <w:r>
          <w:rPr/>
          <w:t>]</w:t>
        </w:r>
      </w:ins>
      <w:ins w:id="8" w:author="Yu SHI-China Unicom" w:date="2021-11-09T15:03:03Z">
        <w:r>
          <w:rPr/>
          <w:t xml:space="preserve"> </w:t>
        </w:r>
      </w:ins>
      <w:r>
        <w:t>(The exact evaluation period is no less than one radio frame); or</w:t>
      </w:r>
    </w:p>
    <w:p>
      <w:pPr>
        <w:pStyle w:val="75"/>
      </w:pPr>
      <w:r>
        <w:t>-</w:t>
      </w:r>
      <w:r>
        <w:tab/>
      </w:r>
      <w:r>
        <w:t xml:space="preserve">if the IE </w:t>
      </w:r>
      <w:r>
        <w:rPr>
          <w:i/>
        </w:rPr>
        <w:t>P-Ma</w:t>
      </w:r>
      <w:r>
        <w:t>x as defined in TS 38.331 [6] is provided and set to the maximum output power of the default power class or lower;</w:t>
      </w:r>
    </w:p>
    <w:p>
      <w:pPr>
        <w:pStyle w:val="76"/>
      </w:pPr>
      <w:r>
        <w:t>-</w:t>
      </w:r>
      <w:r>
        <w:tab/>
      </w:r>
      <w:r>
        <w:t>shall apply all requirements for the default power class to the supported power class and set the configured transmitted power as specified in sub-clause 6.2.4;</w:t>
      </w:r>
    </w:p>
    <w:p>
      <w:pPr>
        <w:pStyle w:val="75"/>
        <w:ind w:left="540" w:hanging="270"/>
      </w:pPr>
      <w:r>
        <w:t>- else if the UE does not support a power class with higher maximum output power than PC2; or</w:t>
      </w:r>
    </w:p>
    <w:p>
      <w:pPr>
        <w:pStyle w:val="75"/>
        <w:ind w:left="540" w:hanging="270"/>
      </w:pPr>
      <w:r>
        <w:t>-</w:t>
      </w:r>
      <w:r>
        <w:tab/>
      </w:r>
      <w:r>
        <w:t>if the field of UE capability maxUplinkDutyCycle is absent and the percentage of uplink symbols transmitted in a certain evaluation period is larger than 25% (The exact evaluation period is no less than one radio frame); or</w:t>
      </w:r>
    </w:p>
    <w:p>
      <w:pPr>
        <w:pStyle w:val="75"/>
        <w:ind w:left="540" w:hanging="270"/>
      </w:pPr>
      <w:r>
        <w:t>-</w:t>
      </w:r>
      <w:r>
        <w:tab/>
      </w:r>
      <w:r>
        <w:t>if the field of UE capability maxUplinkDutyCycle is not absent and the percentage of uplink symbols transmitted in a certain evaluation period is larger than maxUplinkDutyCycle/2 (The exact evaluation period is no less than one radio frame); or</w:t>
      </w:r>
    </w:p>
    <w:p>
      <w:pPr>
        <w:pStyle w:val="75"/>
        <w:ind w:left="540" w:hanging="270"/>
      </w:pPr>
      <w:r>
        <w:t>-</w:t>
      </w:r>
      <w:r>
        <w:tab/>
      </w:r>
      <w:r>
        <w:t>if the IE P-Max as defined in TS 38.331 [6] is provided and set to the maximum output power of the power class 2 or lower;</w:t>
      </w:r>
    </w:p>
    <w:p>
      <w:pPr>
        <w:pStyle w:val="75"/>
      </w:pPr>
      <w:r>
        <w:t>-</w:t>
      </w:r>
      <w:r>
        <w:tab/>
      </w:r>
      <w:r>
        <w:t>shall apply all requirements for power class 2 to the supported power class and set the configured transmitted power as specified in clause 6.2.4;</w:t>
      </w:r>
    </w:p>
    <w:p>
      <w:pPr>
        <w:pStyle w:val="76"/>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32" w:name="_Toc60825002"/>
      <w:bookmarkStart w:id="33" w:name="_Toc27477790"/>
      <w:bookmarkStart w:id="34" w:name="_Toc36226469"/>
      <w:bookmarkStart w:id="35" w:name="_Toc44323724"/>
      <w:bookmarkStart w:id="36" w:name="_Toc52989889"/>
      <w:bookmarkStart w:id="37" w:name="_Toc69305899"/>
      <w:bookmarkStart w:id="38" w:name="_Toc60823080"/>
      <w:r>
        <w:t>6.2.1.4</w:t>
      </w:r>
      <w:r>
        <w:tab/>
      </w:r>
      <w:r>
        <w:t>Test description</w:t>
      </w:r>
      <w:bookmarkEnd w:id="32"/>
      <w:bookmarkEnd w:id="33"/>
      <w:bookmarkEnd w:id="34"/>
      <w:bookmarkEnd w:id="35"/>
      <w:bookmarkEnd w:id="36"/>
      <w:bookmarkEnd w:id="37"/>
      <w:bookmarkEnd w:id="38"/>
    </w:p>
    <w:p>
      <w:pPr>
        <w:pStyle w:val="8"/>
      </w:pPr>
      <w:bookmarkStart w:id="39" w:name="_Toc44323725"/>
      <w:bookmarkStart w:id="40" w:name="_Toc60825003"/>
      <w:bookmarkStart w:id="41" w:name="_Toc69305900"/>
      <w:bookmarkStart w:id="42" w:name="_Toc52989890"/>
      <w:bookmarkStart w:id="43" w:name="_Toc27477791"/>
      <w:bookmarkStart w:id="44" w:name="_Toc60823081"/>
      <w:bookmarkStart w:id="45" w:name="_Toc36226470"/>
      <w:r>
        <w:t>6.2.1.4.1</w:t>
      </w:r>
      <w:r>
        <w:tab/>
      </w:r>
      <w:r>
        <w:t>Initial conditions</w:t>
      </w:r>
      <w:bookmarkEnd w:id="39"/>
      <w:bookmarkEnd w:id="40"/>
      <w:bookmarkEnd w:id="41"/>
      <w:bookmarkEnd w:id="42"/>
      <w:bookmarkEnd w:id="43"/>
      <w:bookmarkEnd w:id="44"/>
      <w:bookmarkEnd w:id="45"/>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55"/>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maximum output </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t>DFT-s-OFDM PI/2 BPSK test applies only for UEs which supports half Pi BPSK in FR1.</w:t>
            </w:r>
            <w:r>
              <w:rPr>
                <w:lang w:eastAsia="zh-CN"/>
              </w:rPr>
              <w:t xml:space="preserve"> </w:t>
            </w:r>
          </w:p>
          <w:p>
            <w:pPr>
              <w:pStyle w:val="66"/>
            </w:pPr>
            <w:r>
              <w:rPr>
                <w:lang w:eastAsia="zh-CN"/>
              </w:rPr>
              <w:t>NOTE 3:</w:t>
            </w:r>
            <w:r>
              <w:rPr>
                <w:lang w:eastAsia="zh-CN"/>
              </w:rPr>
              <w:tab/>
            </w:r>
            <w:r>
              <w:rPr>
                <w:lang w:eastAsia="zh-CN"/>
              </w:rPr>
              <w:t>For band n28, the Highest test channel bandwidth is replaced by 20MHz due to MPR is always larger than 0dB for 30MHz bandwidth.</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46" w:name="_Toc60825004"/>
      <w:bookmarkStart w:id="47" w:name="_Toc44323726"/>
      <w:bookmarkStart w:id="48" w:name="_Toc36226471"/>
      <w:bookmarkStart w:id="49" w:name="_Toc27477792"/>
      <w:bookmarkStart w:id="50" w:name="_Toc60823082"/>
      <w:bookmarkStart w:id="51" w:name="_Toc69305901"/>
      <w:bookmarkStart w:id="52" w:name="_Toc52989891"/>
      <w:r>
        <w:t>6.2.1.4.2</w:t>
      </w:r>
      <w:r>
        <w:tab/>
      </w:r>
      <w:r>
        <w:t>Test procedure</w:t>
      </w:r>
      <w:bookmarkEnd w:id="46"/>
      <w:bookmarkEnd w:id="47"/>
      <w:bookmarkEnd w:id="48"/>
      <w:bookmarkEnd w:id="49"/>
      <w:bookmarkEnd w:id="50"/>
      <w:bookmarkEnd w:id="51"/>
      <w:bookmarkEnd w:id="52"/>
    </w:p>
    <w:p>
      <w:pPr>
        <w:pStyle w:val="75"/>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mean power of the UE in the channel bandwidth of the radio access mode. For PC1.5 the measured power is the sum of the two ports. The period of measurement shall be at least the continuous duration of one active sub-frame (1ms) and in the uplink symbols. For TDD symbols with transient periods are not under test. </w:t>
      </w:r>
    </w:p>
    <w:p>
      <w:pPr>
        <w:pStyle w:val="75"/>
      </w:pPr>
      <w:r>
        <w:t>4.</w:t>
      </w:r>
      <w:r>
        <w:tab/>
      </w:r>
      <w:r>
        <w:t>For UEs supporting</w:t>
      </w:r>
      <w:r>
        <w:rPr>
          <w:lang w:eastAsia="zh-CN"/>
        </w:rPr>
        <w:t xml:space="preserve"> Power Class 2, Power Class 1.5 or Power Class 1, repeat steps 1~3 on the applicable bands with message exception of P-Max defined in Table 6.2.1.4.3-2.</w:t>
      </w:r>
    </w:p>
    <w:p>
      <w:pPr>
        <w:pStyle w:val="75"/>
      </w:pPr>
      <w:bookmarkStart w:id="53" w:name="_Toc44323727"/>
      <w:bookmarkStart w:id="54" w:name="_Toc60825005"/>
      <w:bookmarkStart w:id="55" w:name="_Toc27477793"/>
      <w:bookmarkStart w:id="56" w:name="_Toc36226472"/>
      <w:bookmarkStart w:id="57" w:name="_Toc60823083"/>
      <w:bookmarkStart w:id="58" w:name="_Toc52989892"/>
      <w:bookmarkStart w:id="59" w:name="_Toc69305902"/>
      <w:r>
        <w:t>5.</w:t>
      </w:r>
      <w:r>
        <w:tab/>
      </w:r>
      <w:r>
        <w:t>For UEs supporting</w:t>
      </w:r>
      <w:r>
        <w:rPr>
          <w:lang w:eastAsia="zh-CN"/>
        </w:rPr>
        <w:t xml:space="preserve"> Power Class 1.5 repeat steps 1~3 on the applicable bands with message exception of P-Max defined in Table 6.2.1.4.3-3.</w:t>
      </w:r>
    </w:p>
    <w:p>
      <w:pPr>
        <w:pStyle w:val="8"/>
      </w:pPr>
      <w:r>
        <w:t>6.2.1.4.3</w:t>
      </w:r>
      <w:r>
        <w:tab/>
      </w:r>
      <w:r>
        <w:t>Message contents</w:t>
      </w:r>
      <w:bookmarkEnd w:id="53"/>
      <w:bookmarkEnd w:id="54"/>
      <w:bookmarkEnd w:id="55"/>
      <w:bookmarkEnd w:id="56"/>
      <w:bookmarkEnd w:id="57"/>
      <w:bookmarkEnd w:id="58"/>
      <w:bookmarkEnd w:id="59"/>
    </w:p>
    <w:p>
      <w:r>
        <w:t>Message contents are according to TS 38.508-1 [5] subclause 4.6 and 5.4 with the following exception</w:t>
      </w:r>
      <w:r>
        <w:rPr>
          <w:lang w:eastAsia="ja-JP"/>
        </w:rPr>
        <w:t>s</w:t>
      </w:r>
      <w:r>
        <w:t>.</w:t>
      </w:r>
    </w:p>
    <w:p>
      <w:pPr>
        <w:pStyle w:val="55"/>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1"/>
              <w:jc w:val="left"/>
              <w:rPr>
                <w:b w:val="0"/>
              </w:rPr>
            </w:pPr>
            <w:r>
              <w:rPr>
                <w:b w:val="0"/>
              </w:rPr>
              <w:t>Derivation Path: TS 38.508-1 [5], Table 4.6.3-118 with condition TRANSFORM_PRECODER_ENABLED</w:t>
            </w:r>
          </w:p>
        </w:tc>
      </w:tr>
    </w:tbl>
    <w:p/>
    <w:p>
      <w:pPr>
        <w:pStyle w:val="55"/>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P-Max</w:t>
            </w:r>
          </w:p>
        </w:tc>
        <w:tc>
          <w:tcPr>
            <w:tcW w:w="2268" w:type="dxa"/>
          </w:tcPr>
          <w:p>
            <w:pPr>
              <w:pStyle w:val="53"/>
            </w:pPr>
            <w:r>
              <w:t>23</w:t>
            </w:r>
          </w:p>
        </w:tc>
        <w:tc>
          <w:tcPr>
            <w:tcW w:w="2582" w:type="dxa"/>
          </w:tcPr>
          <w:p>
            <w:pPr>
              <w:pStyle w:val="53"/>
            </w:pPr>
          </w:p>
        </w:tc>
        <w:tc>
          <w:tcPr>
            <w:tcW w:w="1245" w:type="dxa"/>
          </w:tcPr>
          <w:p>
            <w:pPr>
              <w:pStyle w:val="53"/>
            </w:pPr>
            <w:r>
              <w:t>PC2 UE or</w:t>
            </w:r>
          </w:p>
          <w:p>
            <w:pPr>
              <w:pStyle w:val="53"/>
            </w:pPr>
            <w:r>
              <w:t xml:space="preserve">PC1.5 UE or </w:t>
            </w:r>
          </w:p>
          <w:p>
            <w:pPr>
              <w:pStyle w:val="53"/>
            </w:pPr>
            <w:r>
              <w:t>PC1 UE</w:t>
            </w:r>
          </w:p>
        </w:tc>
      </w:tr>
    </w:tbl>
    <w:p/>
    <w:p>
      <w:pPr>
        <w:pStyle w:val="55"/>
        <w:rPr>
          <w:iCs/>
        </w:rPr>
      </w:pPr>
      <w:r>
        <w:t xml:space="preserve">Table 6.2.1.4.3-3: </w:t>
      </w:r>
      <w:r>
        <w:rPr>
          <w:i/>
          <w:iCs/>
        </w:rPr>
        <w:t xml:space="preserve">P-Max </w:t>
      </w:r>
      <w:r>
        <w:rPr>
          <w:iCs/>
        </w:rPr>
        <w:t>(Step 5)</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468" w:type="dxa"/>
          </w:tcPr>
          <w:p>
            <w:pPr>
              <w:pStyle w:val="51"/>
            </w:pPr>
            <w:r>
              <w:t>Comment</w:t>
            </w:r>
          </w:p>
        </w:tc>
        <w:tc>
          <w:tcPr>
            <w:tcW w:w="135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P-Max</w:t>
            </w:r>
          </w:p>
        </w:tc>
        <w:tc>
          <w:tcPr>
            <w:tcW w:w="2268" w:type="dxa"/>
          </w:tcPr>
          <w:p>
            <w:pPr>
              <w:pStyle w:val="53"/>
            </w:pPr>
            <w:r>
              <w:t>26</w:t>
            </w:r>
          </w:p>
        </w:tc>
        <w:tc>
          <w:tcPr>
            <w:tcW w:w="2468" w:type="dxa"/>
          </w:tcPr>
          <w:p>
            <w:pPr>
              <w:pStyle w:val="53"/>
            </w:pPr>
          </w:p>
        </w:tc>
        <w:tc>
          <w:tcPr>
            <w:tcW w:w="1359" w:type="dxa"/>
          </w:tcPr>
          <w:p>
            <w:pPr>
              <w:pStyle w:val="53"/>
            </w:pPr>
            <w:r>
              <w:t>PC1.5 UE</w:t>
            </w:r>
          </w:p>
        </w:tc>
      </w:tr>
    </w:tbl>
    <w:p/>
    <w:p>
      <w:pPr>
        <w:pStyle w:val="8"/>
      </w:pPr>
      <w:bookmarkStart w:id="60" w:name="_Toc44323728"/>
      <w:bookmarkStart w:id="61" w:name="_Toc60825006"/>
      <w:bookmarkStart w:id="62" w:name="_Toc27477794"/>
      <w:bookmarkStart w:id="63" w:name="_Toc60823084"/>
      <w:bookmarkStart w:id="64" w:name="_Toc52989893"/>
      <w:bookmarkStart w:id="65" w:name="_Toc69305903"/>
      <w:bookmarkStart w:id="66" w:name="_Toc36226473"/>
      <w:r>
        <w:t>6.2.1.5</w:t>
      </w:r>
      <w:r>
        <w:tab/>
      </w:r>
      <w:r>
        <w:t>Test requirement</w:t>
      </w:r>
      <w:bookmarkEnd w:id="60"/>
      <w:bookmarkEnd w:id="61"/>
      <w:bookmarkEnd w:id="62"/>
      <w:bookmarkEnd w:id="63"/>
      <w:bookmarkEnd w:id="64"/>
      <w:bookmarkEnd w:id="65"/>
      <w:bookmarkEnd w:id="66"/>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 and Table 6.2.1.5-2b for Power Class 1.5</w:t>
      </w:r>
      <w:r>
        <w:t>.</w:t>
      </w:r>
    </w:p>
    <w:p>
      <w:r>
        <w:t>The maximum output power, derived in step 4 shall be within the range prescribed by the nominal maximum output power and tolerance in Table 6.2.1.5-</w:t>
      </w:r>
      <w:r>
        <w:rPr>
          <w:rFonts w:eastAsia="宋体"/>
          <w:lang w:eastAsia="zh-CN"/>
        </w:rPr>
        <w:t>1</w:t>
      </w:r>
      <w:r>
        <w:t>.</w:t>
      </w:r>
    </w:p>
    <w:p>
      <w:r>
        <w:t>The maximum output power, derived in step 5 shall be within the range prescribed by the nominal maximum output power and tolerance in Table 6.2.1.5-</w:t>
      </w:r>
      <w:r>
        <w:rPr>
          <w:rFonts w:eastAsia="宋体"/>
          <w:lang w:eastAsia="zh-CN"/>
        </w:rPr>
        <w:t>2</w:t>
      </w:r>
      <w:r>
        <w:t>.</w:t>
      </w:r>
    </w:p>
    <w:p>
      <w:pPr>
        <w:pStyle w:val="55"/>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+2+TT/-3.0</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eastAsia="zh-CN"/>
              </w:rPr>
              <w:t>n26</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 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n50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n51</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n65</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fi-FI"/>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rPr>
                <w:lang w:eastAsia="ja-JP"/>
              </w:rPr>
              <w:t>n74</w:t>
            </w: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cs="Arial"/>
              </w:rPr>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FUL_low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limit by 1.5 dB </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+2+TT/-3-TT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+2+TT/-3-TT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+2+TT/-3-TT</w:t>
            </w: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6.2.1.5-2b: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rFonts w:cs="Arial"/>
              </w:rPr>
              <w:t>NR</w:t>
            </w:r>
          </w:p>
          <w:p>
            <w:pPr>
              <w:pStyle w:val="51"/>
              <w:rPr>
                <w:rFonts w:cs="Arial"/>
              </w:rPr>
            </w:pPr>
            <w:r>
              <w:rPr>
                <w:rFonts w:cs="Arial"/>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29</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 </w:t>
            </w:r>
          </w:p>
          <w:p>
            <w:pPr>
              <w:pStyle w:val="66"/>
              <w:rPr>
                <w:rFonts w:cs="Arial"/>
              </w:rPr>
            </w:pPr>
            <w:r>
              <w:rPr>
                <w:rFonts w:cs="Arial"/>
              </w:rPr>
              <w:t>NOTE 2:</w:t>
            </w:r>
            <w:r>
              <w:rPr>
                <w:rFonts w:cs="Arial"/>
              </w:rPr>
              <w:tab/>
            </w:r>
            <w:r>
              <w:rPr>
                <w:rFonts w:cs="Arial"/>
              </w:rPr>
              <w:t>Power</w:t>
            </w:r>
            <w:r>
              <w:t xml:space="preserve"> </w:t>
            </w:r>
            <w:r>
              <w:rPr>
                <w:rFonts w:cs="Arial"/>
              </w:rPr>
              <w:t>class 3 is default power class unless otherwise stated</w:t>
            </w:r>
          </w:p>
          <w:p>
            <w:pPr>
              <w:pStyle w:val="66"/>
              <w:rPr>
                <w:rFonts w:cs="Arial"/>
              </w:rPr>
            </w:pPr>
            <w:r>
              <w:rPr>
                <w:rFonts w:cs="Arial"/>
              </w:rPr>
              <w:t>NOTE 3:</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4:</w:t>
            </w:r>
            <w:r>
              <w:rPr>
                <w:rFonts w:cs="Arial"/>
              </w:rPr>
              <w:tab/>
            </w:r>
            <w:r>
              <w:rPr>
                <w:rFonts w:cs="Arial"/>
              </w:rPr>
              <w:t>TT for each frequency and channel bandwidth is specified in Table 6.2.1.5-3</w:t>
            </w:r>
          </w:p>
        </w:tc>
      </w:tr>
    </w:tbl>
    <w:p/>
    <w:p>
      <w:pPr>
        <w:pStyle w:val="55"/>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r>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c>
          <w:tcPr>
            <w:tcW w:w="19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r>
    </w:tbl>
    <w:p/>
    <w:p/>
    <w:p>
      <w:pPr>
        <w:pStyle w:val="4"/>
        <w:rPr>
          <w:color w:val="FF0000"/>
        </w:rPr>
      </w:pPr>
      <w:r>
        <w:rPr>
          <w:color w:val="FF0000"/>
        </w:rPr>
        <w:t>&lt;Unchanged Text Skipped&gt;</w:t>
      </w:r>
    </w:p>
    <w:p>
      <w:pPr>
        <w:pStyle w:val="4"/>
        <w:rPr>
          <w:lang w:eastAsia="zh-CN"/>
        </w:rPr>
      </w:pPr>
      <w:bookmarkStart w:id="67" w:name="_Toc76020136"/>
      <w:bookmarkStart w:id="68" w:name="_Toc69306030"/>
      <w:bookmarkStart w:id="69" w:name="_Toc83720610"/>
      <w:bookmarkStart w:id="70" w:name="_Toc60825133"/>
      <w:bookmarkStart w:id="71" w:name="_Toc36226575"/>
      <w:bookmarkStart w:id="72" w:name="_Toc60823211"/>
      <w:bookmarkStart w:id="73" w:name="_Toc69309824"/>
      <w:bookmarkStart w:id="74" w:name="_Toc27477882"/>
      <w:bookmarkStart w:id="75" w:name="_Toc52990015"/>
      <w:bookmarkStart w:id="76" w:name="_Toc44323832"/>
      <w:r>
        <w:t>6.2</w:t>
      </w:r>
      <w:r>
        <w:rPr>
          <w:lang w:eastAsia="zh-CN"/>
        </w:rPr>
        <w:t>D.1</w:t>
      </w:r>
      <w:r>
        <w:rPr>
          <w:lang w:eastAsia="zh-CN"/>
        </w:rPr>
        <w:tab/>
      </w:r>
      <w:r>
        <w:t>UE maximum output power for UL MIMO</w:t>
      </w:r>
      <w:bookmarkEnd w:id="67"/>
      <w:bookmarkEnd w:id="68"/>
      <w:bookmarkEnd w:id="69"/>
      <w:bookmarkEnd w:id="70"/>
      <w:bookmarkEnd w:id="71"/>
      <w:bookmarkEnd w:id="72"/>
      <w:bookmarkEnd w:id="73"/>
      <w:bookmarkEnd w:id="74"/>
      <w:bookmarkEnd w:id="75"/>
      <w:bookmarkEnd w:id="76"/>
    </w:p>
    <w:p>
      <w:pPr>
        <w:pStyle w:val="74"/>
      </w:pPr>
      <w:r>
        <w:t>Editor’s Note:</w:t>
      </w:r>
    </w:p>
    <w:p>
      <w:pPr>
        <w:pStyle w:val="74"/>
        <w:rPr>
          <w:rFonts w:eastAsia="PMingLiU"/>
          <w:lang w:eastAsia="zh-TW"/>
        </w:rPr>
      </w:pPr>
      <w:r>
        <w:t xml:space="preserve">- No test points are defined for 2-layer UL MIMO </w:t>
      </w:r>
      <w:r>
        <w:rPr>
          <w:rFonts w:eastAsia="PMingLiU"/>
          <w:lang w:eastAsia="zh-TW"/>
        </w:rPr>
        <w:t>since there is no configuration satisfying MPR=0dB requirements in RAN4. Testing with 1.5dB MPR as recommended by RAN4 has been covered in 6.2D.2.</w:t>
      </w:r>
    </w:p>
    <w:p>
      <w:pPr>
        <w:pStyle w:val="74"/>
        <w:rPr>
          <w:rFonts w:eastAsia="PMingLiU"/>
          <w:lang w:eastAsia="zh-TW"/>
        </w:rPr>
      </w:pPr>
      <w:r>
        <w:rPr>
          <w:rFonts w:eastAsia="PMingLiU"/>
          <w:lang w:eastAsia="zh-TW"/>
        </w:rPr>
        <w:t>- Implementation to verify ‘</w:t>
      </w:r>
      <w:r>
        <w:rPr>
          <w:rFonts w:eastAsia="PMingLiU"/>
          <w:i/>
          <w:iCs/>
          <w:lang w:eastAsia="zh-TW"/>
        </w:rPr>
        <w:t>If UE is configured for transmission on single-antenna port, the requirements in clause 6.2.1 apply</w:t>
      </w:r>
      <w:r>
        <w:rPr>
          <w:rFonts w:eastAsia="PMingLiU"/>
          <w:lang w:eastAsia="zh-TW"/>
        </w:rPr>
        <w:t>’ is still under discussion.</w:t>
      </w:r>
    </w:p>
    <w:p>
      <w:pPr>
        <w:pStyle w:val="8"/>
      </w:pPr>
      <w:bookmarkStart w:id="77" w:name="_Toc60823212"/>
      <w:bookmarkStart w:id="78" w:name="_Toc69306031"/>
      <w:bookmarkStart w:id="79" w:name="_Toc60825134"/>
      <w:bookmarkStart w:id="80" w:name="_Toc36226576"/>
      <w:bookmarkStart w:id="81" w:name="_Toc27477883"/>
      <w:bookmarkStart w:id="82" w:name="_Toc52990016"/>
      <w:bookmarkStart w:id="83" w:name="_Toc44323833"/>
      <w:r>
        <w:t>6.2D.1.1</w:t>
      </w:r>
      <w:r>
        <w:tab/>
      </w:r>
      <w:r>
        <w:t>Test purpose</w:t>
      </w:r>
      <w:bookmarkEnd w:id="77"/>
      <w:bookmarkEnd w:id="78"/>
      <w:bookmarkEnd w:id="79"/>
      <w:bookmarkEnd w:id="80"/>
      <w:bookmarkEnd w:id="81"/>
      <w:bookmarkEnd w:id="82"/>
      <w:bookmarkEnd w:id="83"/>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84" w:name="_Toc69306032"/>
      <w:bookmarkStart w:id="85" w:name="_Toc60823213"/>
      <w:bookmarkStart w:id="86" w:name="_Toc52990017"/>
      <w:bookmarkStart w:id="87" w:name="_Toc36226577"/>
      <w:bookmarkStart w:id="88" w:name="_Toc60825135"/>
      <w:bookmarkStart w:id="89" w:name="_Toc44323834"/>
      <w:bookmarkStart w:id="90" w:name="_Toc27477884"/>
      <w:r>
        <w:t>6.2D.1.2</w:t>
      </w:r>
      <w:r>
        <w:tab/>
      </w:r>
      <w:r>
        <w:t>Test applicability</w:t>
      </w:r>
      <w:bookmarkEnd w:id="84"/>
      <w:bookmarkEnd w:id="85"/>
      <w:bookmarkEnd w:id="86"/>
      <w:bookmarkEnd w:id="87"/>
      <w:bookmarkEnd w:id="88"/>
      <w:bookmarkEnd w:id="89"/>
      <w:bookmarkEnd w:id="90"/>
    </w:p>
    <w:p>
      <w:r>
        <w:t>This test case applies to all types of NR UE release 15 and forward that support UL MIMO.</w:t>
      </w:r>
    </w:p>
    <w:p>
      <w:pPr>
        <w:pStyle w:val="8"/>
      </w:pPr>
      <w:bookmarkStart w:id="91" w:name="_Toc52990018"/>
      <w:bookmarkStart w:id="92" w:name="_Toc60823214"/>
      <w:bookmarkStart w:id="93" w:name="_Toc69306033"/>
      <w:bookmarkStart w:id="94" w:name="_Toc44323835"/>
      <w:bookmarkStart w:id="95" w:name="_Toc36226578"/>
      <w:bookmarkStart w:id="96" w:name="_Toc27477885"/>
      <w:bookmarkStart w:id="97" w:name="_Toc60825136"/>
      <w:r>
        <w:t>6.2D.1.3</w:t>
      </w:r>
      <w:r>
        <w:tab/>
      </w:r>
      <w:r>
        <w:t>Minimum conformance requirements</w:t>
      </w:r>
      <w:bookmarkEnd w:id="91"/>
      <w:bookmarkEnd w:id="92"/>
      <w:bookmarkEnd w:id="93"/>
      <w:bookmarkEnd w:id="94"/>
      <w:bookmarkEnd w:id="95"/>
      <w:bookmarkEnd w:id="96"/>
      <w:bookmarkEnd w:id="97"/>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CN"/>
        </w:rPr>
        <w:drawing>
          <wp:inline distT="0" distB="0" distL="114300" distR="114300">
            <wp:extent cx="619125" cy="390525"/>
            <wp:effectExtent l="0" t="0" r="1587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9125" cy="390525"/>
                    </a:xfrm>
                    <a:prstGeom prst="rect">
                      <a:avLst/>
                    </a:prstGeom>
                    <a:noFill/>
                    <a:ln w="9525">
                      <a:noFill/>
                    </a:ln>
                  </pic:spPr>
                </pic:pic>
              </a:graphicData>
            </a:graphic>
          </wp:inline>
        </w:drawing>
      </w:r>
      <w:r>
        <w:t>.</w:t>
      </w:r>
      <w:r>
        <w:rPr>
          <w:lang w:eastAsia="zh-CN"/>
        </w:rPr>
        <w:t xml:space="preserve"> </w:t>
      </w:r>
      <w:r>
        <w:t>DCI Format for UE configured in PUSCH transmission mode for uplink single-user MIMO shall be used.</w:t>
      </w:r>
    </w:p>
    <w:p>
      <w:pPr>
        <w:pStyle w:val="55"/>
      </w:pPr>
      <w:bookmarkStart w:id="98" w:name="_Hlk83890771"/>
      <w:r>
        <w:t>Table 6.2</w:t>
      </w:r>
      <w:r>
        <w:rPr>
          <w:lang w:eastAsia="zh-CN"/>
        </w:rPr>
        <w:t>D.1.3</w:t>
      </w:r>
      <w:r>
        <w:t>-1: UE Power Class for UL MIMO in closed loop spatial multiplexing scheme</w:t>
      </w:r>
    </w:p>
    <w:tbl>
      <w:tblPr>
        <w:tblStyle w:val="47"/>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777"/>
        <w:gridCol w:w="1067"/>
        <w:gridCol w:w="743"/>
        <w:gridCol w:w="1067"/>
        <w:gridCol w:w="777"/>
        <w:gridCol w:w="1067"/>
        <w:gridCol w:w="752"/>
        <w:gridCol w:w="1069"/>
        <w:gridCol w:w="768"/>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1"/>
            </w:pPr>
            <w:r>
              <w:t>NR band</w:t>
            </w:r>
          </w:p>
        </w:tc>
        <w:tc>
          <w:tcPr>
            <w:tcW w:w="780" w:type="dxa"/>
          </w:tcPr>
          <w:p>
            <w:pPr>
              <w:pStyle w:val="51"/>
              <w:rPr>
                <w:highlight w:val="yellow"/>
              </w:rPr>
            </w:pPr>
            <w:r>
              <w:rPr>
                <w:highlight w:val="yellow"/>
              </w:rPr>
              <w:t>Class 1 (dBm)</w:t>
            </w:r>
          </w:p>
        </w:tc>
        <w:tc>
          <w:tcPr>
            <w:tcW w:w="1067" w:type="dxa"/>
          </w:tcPr>
          <w:p>
            <w:pPr>
              <w:pStyle w:val="51"/>
              <w:rPr>
                <w:highlight w:val="yellow"/>
              </w:rPr>
            </w:pPr>
            <w:r>
              <w:rPr>
                <w:highlight w:val="yellow"/>
              </w:rPr>
              <w:t>Tolerance (dB)</w:t>
            </w:r>
          </w:p>
        </w:tc>
        <w:tc>
          <w:tcPr>
            <w:tcW w:w="744" w:type="dxa"/>
          </w:tcPr>
          <w:p>
            <w:pPr>
              <w:pStyle w:val="51"/>
              <w:rPr>
                <w:kern w:val="2"/>
                <w:szCs w:val="22"/>
                <w:lang w:val="en-US" w:eastAsia="zh-CN"/>
              </w:rPr>
            </w:pPr>
            <w:r>
              <w:rPr>
                <w:rFonts w:hint="eastAsia"/>
                <w:kern w:val="2"/>
                <w:szCs w:val="22"/>
                <w:lang w:val="en-US" w:eastAsia="zh-CN"/>
              </w:rPr>
              <w:t>Class 1.5</w:t>
            </w:r>
          </w:p>
          <w:p>
            <w:pPr>
              <w:pStyle w:val="51"/>
            </w:pPr>
            <w:r>
              <w:rPr>
                <w:rFonts w:hint="eastAsia"/>
                <w:kern w:val="2"/>
                <w:szCs w:val="22"/>
                <w:lang w:val="en-US" w:eastAsia="zh-CN"/>
              </w:rPr>
              <w:t>(dBm)</w:t>
            </w:r>
          </w:p>
        </w:tc>
        <w:tc>
          <w:tcPr>
            <w:tcW w:w="1053" w:type="dxa"/>
          </w:tcPr>
          <w:p>
            <w:pPr>
              <w:pStyle w:val="51"/>
              <w:rPr>
                <w:kern w:val="2"/>
                <w:szCs w:val="22"/>
                <w:lang w:val="en-US" w:eastAsia="zh-CN"/>
              </w:rPr>
            </w:pPr>
            <w:r>
              <w:rPr>
                <w:rFonts w:hint="eastAsia"/>
                <w:kern w:val="2"/>
                <w:szCs w:val="22"/>
                <w:lang w:val="en-US" w:eastAsia="zh-CN"/>
              </w:rPr>
              <w:t>Tolerance</w:t>
            </w:r>
          </w:p>
          <w:p>
            <w:pPr>
              <w:pStyle w:val="51"/>
            </w:pPr>
            <w:r>
              <w:rPr>
                <w:rFonts w:hint="eastAsia"/>
                <w:kern w:val="2"/>
                <w:szCs w:val="22"/>
                <w:lang w:val="en-US" w:eastAsia="zh-CN"/>
              </w:rPr>
              <w:t>(dB)</w:t>
            </w:r>
          </w:p>
        </w:tc>
        <w:tc>
          <w:tcPr>
            <w:tcW w:w="780" w:type="dxa"/>
          </w:tcPr>
          <w:p>
            <w:pPr>
              <w:pStyle w:val="51"/>
            </w:pPr>
            <w:r>
              <w:t>Class 2 (dBm)</w:t>
            </w:r>
          </w:p>
        </w:tc>
        <w:tc>
          <w:tcPr>
            <w:tcW w:w="1067" w:type="dxa"/>
          </w:tcPr>
          <w:p>
            <w:pPr>
              <w:pStyle w:val="51"/>
            </w:pPr>
            <w:r>
              <w:t>Tolerance (dB)</w:t>
            </w:r>
          </w:p>
        </w:tc>
        <w:tc>
          <w:tcPr>
            <w:tcW w:w="753" w:type="dxa"/>
          </w:tcPr>
          <w:p>
            <w:pPr>
              <w:pStyle w:val="51"/>
            </w:pPr>
            <w:r>
              <w:t>Class 3 (dBm)</w:t>
            </w:r>
          </w:p>
        </w:tc>
        <w:tc>
          <w:tcPr>
            <w:tcW w:w="1069" w:type="dxa"/>
          </w:tcPr>
          <w:p>
            <w:pPr>
              <w:pStyle w:val="51"/>
            </w:pPr>
            <w:r>
              <w:t>Tolerance (dB)</w:t>
            </w:r>
          </w:p>
        </w:tc>
        <w:tc>
          <w:tcPr>
            <w:tcW w:w="770" w:type="dxa"/>
          </w:tcPr>
          <w:p>
            <w:pPr>
              <w:pStyle w:val="51"/>
            </w:pPr>
            <w:r>
              <w:t>Class 4 (dBm)</w:t>
            </w:r>
          </w:p>
        </w:tc>
        <w:tc>
          <w:tcPr>
            <w:tcW w:w="1069"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bookmarkStart w:id="99"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n7</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bookmarkEnd w:id="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pPr>
            <w:r>
              <w:t>n30</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bookmarkStart w:id="100" w:name="OLE_LINK202"/>
            <w:bookmarkStart w:id="101" w:name="OLE_LINK201"/>
            <w:r>
              <w:t>n38</w:t>
            </w:r>
            <w:bookmarkEnd w:id="100"/>
            <w:bookmarkEnd w:id="101"/>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pPr>
            <w:r>
              <w:t>n41</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kern w:val="2"/>
                <w:szCs w:val="22"/>
              </w:rPr>
              <w:t>29</w:t>
            </w:r>
          </w:p>
        </w:tc>
        <w:tc>
          <w:tcPr>
            <w:tcW w:w="1053" w:type="dxa"/>
          </w:tcPr>
          <w:p>
            <w:pPr>
              <w:pStyle w:val="52"/>
              <w:rPr>
                <w:rFonts w:eastAsia="CG Times (WN)"/>
              </w:rPr>
            </w:pPr>
            <w:r>
              <w:rPr>
                <w:rFonts w:hint="eastAsia"/>
                <w:kern w:val="2"/>
                <w:szCs w:val="22"/>
                <w:lang w:eastAsia="zh-CN"/>
              </w:rPr>
              <w:t>+</w:t>
            </w:r>
            <w:r>
              <w:rPr>
                <w:kern w:val="2"/>
                <w:szCs w:val="22"/>
              </w:rPr>
              <w:t>2/-3</w:t>
            </w:r>
            <w:r>
              <w:rPr>
                <w:rFonts w:hint="eastAsia"/>
                <w:kern w:val="2"/>
                <w:szCs w:val="22"/>
                <w:vertAlign w:val="superscript"/>
                <w:lang w:val="en-US" w:eastAsia="zh-CN"/>
              </w:rPr>
              <w:t>1</w:t>
            </w:r>
          </w:p>
        </w:tc>
        <w:tc>
          <w:tcPr>
            <w:tcW w:w="780"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+2/-3</w:t>
            </w:r>
            <w:r>
              <w:rPr>
                <w:rFonts w:eastAsia="CG Times (WN)"/>
                <w:vertAlign w:val="superscript"/>
              </w:rPr>
              <w:t>1</w:t>
            </w:r>
          </w:p>
        </w:tc>
        <w:tc>
          <w:tcPr>
            <w:tcW w:w="753" w:type="dxa"/>
          </w:tcPr>
          <w:p>
            <w:pPr>
              <w:pStyle w:val="52"/>
            </w:pPr>
            <w:r>
              <w:rPr>
                <w:rFonts w:eastAsia="CG Times (WN)"/>
              </w:rPr>
              <w:t>2</w:t>
            </w:r>
            <w:r>
              <w:t>3</w:t>
            </w:r>
          </w:p>
        </w:tc>
        <w:tc>
          <w:tcPr>
            <w:tcW w:w="1069" w:type="dxa"/>
          </w:tcPr>
          <w:p>
            <w:pPr>
              <w:pStyle w:val="52"/>
              <w:rPr>
                <w:rFonts w:eastAsia="CG Times (WN)"/>
              </w:rPr>
            </w:pPr>
            <w:r>
              <w:t>+2/-3</w:t>
            </w:r>
            <w:r>
              <w:rPr>
                <w:vertAlign w:val="superscript"/>
              </w:rPr>
              <w:t>1</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bookmarkStart w:id="102"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bookmarkEnd w:id="10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rPr>
            </w:pPr>
            <w:r>
              <w:rPr>
                <w:rFonts w:eastAsia="CG Times (WN)"/>
              </w:rPr>
              <w:t>n77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w:t>
            </w:r>
            <w:r>
              <w:t>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rPr>
            </w:pPr>
            <w:r>
              <w:rPr>
                <w:rFonts w:eastAsia="CG Times (WN)"/>
              </w:rPr>
              <w:t>n78</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t>23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pPr>
            <w:r>
              <w:rPr>
                <w:rFonts w:eastAsia="CG Times (WN)"/>
              </w:rPr>
              <w:t>n7</w:t>
            </w:r>
            <w:r>
              <w:t>9</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rPr>
            </w:pPr>
            <w:r>
              <w:rPr>
                <w:rFonts w:hint="eastAsia"/>
                <w:lang w:eastAsia="zh-CN"/>
              </w:rPr>
              <w:t>n</w:t>
            </w:r>
            <w:r>
              <w:rPr>
                <w:lang w:eastAsia="zh-CN"/>
              </w:rPr>
              <w:t>97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rFonts w:hint="eastAsia"/>
                <w:lang w:eastAsia="zh-CN"/>
              </w:rPr>
              <w:t>2</w:t>
            </w:r>
            <w:r>
              <w:rPr>
                <w:lang w:eastAsia="zh-CN"/>
              </w:rPr>
              <w:t>3</w:t>
            </w:r>
          </w:p>
        </w:tc>
        <w:tc>
          <w:tcPr>
            <w:tcW w:w="1069" w:type="dxa"/>
          </w:tcPr>
          <w:p>
            <w:pPr>
              <w:pStyle w:val="52"/>
              <w:rPr>
                <w:rFonts w:eastAsia="CG Times (WN)"/>
              </w:rPr>
            </w:pPr>
            <w:r>
              <w:rPr>
                <w:rFonts w:hint="eastAsia"/>
                <w:lang w:eastAsia="zh-CN"/>
              </w:rPr>
              <w:t>+</w:t>
            </w:r>
            <w:r>
              <w:rPr>
                <w:lang w:eastAsia="zh-CN"/>
              </w:rPr>
              <w:t>2/-3</w:t>
            </w:r>
          </w:p>
        </w:tc>
        <w:tc>
          <w:tcPr>
            <w:tcW w:w="770" w:type="dxa"/>
            <w:vAlign w:val="center"/>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9" w:type="dxa"/>
            <w:gridSpan w:val="11"/>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lang w:eastAsia="zh-CN"/>
              </w:rPr>
            </w:pPr>
            <w:r>
              <w:t>NOTE 2:</w:t>
            </w:r>
            <w:r>
              <w:tab/>
            </w:r>
            <w:r>
              <w:t>Power class 3 is the default power class unless otherwise stated.</w:t>
            </w:r>
          </w:p>
        </w:tc>
      </w:tr>
      <w:bookmarkEnd w:id="98"/>
    </w:tbl>
    <w:p/>
    <w:p>
      <w:pPr>
        <w:pStyle w:val="55"/>
      </w:pPr>
      <w:r>
        <w:t>Table 6.2</w:t>
      </w:r>
      <w:r>
        <w:rPr>
          <w:lang w:eastAsia="zh-CN"/>
        </w:rPr>
        <w:t>D</w:t>
      </w:r>
      <w:r>
        <w:t>.</w:t>
      </w:r>
      <w:r>
        <w:rPr>
          <w:lang w:eastAsia="zh-CN"/>
        </w:rPr>
        <w:t>1.3</w:t>
      </w:r>
      <w:r>
        <w:t>-2: UL MIMO configuration in closed-loop spatial multiplexing scheme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51"/>
            </w:pPr>
            <w:r>
              <w:t>Transmission scheme</w:t>
            </w:r>
          </w:p>
        </w:tc>
        <w:tc>
          <w:tcPr>
            <w:tcW w:w="1902" w:type="dxa"/>
          </w:tcPr>
          <w:p>
            <w:pPr>
              <w:pStyle w:val="51"/>
              <w:rPr>
                <w:rFonts w:eastAsia="Cambria Math"/>
              </w:rPr>
            </w:pPr>
            <w:r>
              <w:rPr>
                <w:rFonts w:eastAsia="Cambria Math"/>
              </w:rPr>
              <w:t xml:space="preserve">DCI format </w:t>
            </w:r>
          </w:p>
        </w:tc>
        <w:tc>
          <w:tcPr>
            <w:tcW w:w="1925" w:type="dxa"/>
          </w:tcPr>
          <w:p>
            <w:pPr>
              <w:pStyle w:val="51"/>
              <w:rPr>
                <w:rFonts w:eastAsia="Cambria Math"/>
              </w:rPr>
            </w:pPr>
            <w:r>
              <w:rPr>
                <w:rFonts w:eastAsia="Cambria Math"/>
              </w:rPr>
              <w:t>Number of layers</w:t>
            </w:r>
          </w:p>
        </w:tc>
        <w:tc>
          <w:tcPr>
            <w:tcW w:w="2546" w:type="dxa"/>
          </w:tcPr>
          <w:p>
            <w:pPr>
              <w:pStyle w:val="51"/>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52"/>
            </w:pPr>
            <w:r>
              <w:t>Codebook based uplink</w:t>
            </w:r>
          </w:p>
        </w:tc>
        <w:tc>
          <w:tcPr>
            <w:tcW w:w="1902" w:type="dxa"/>
          </w:tcPr>
          <w:p>
            <w:pPr>
              <w:pStyle w:val="52"/>
              <w:rPr>
                <w:rFonts w:eastAsia="Cambria Math"/>
              </w:rPr>
            </w:pPr>
            <w:r>
              <w:rPr>
                <w:rFonts w:eastAsia="Cambria Math"/>
              </w:rPr>
              <w:t>DCI format 0_1</w:t>
            </w:r>
          </w:p>
        </w:tc>
        <w:tc>
          <w:tcPr>
            <w:tcW w:w="1925" w:type="dxa"/>
          </w:tcPr>
          <w:p>
            <w:pPr>
              <w:pStyle w:val="52"/>
              <w:rPr>
                <w:rFonts w:eastAsia="Cambria Math"/>
              </w:rPr>
            </w:pPr>
            <w:r>
              <w:rPr>
                <w:rFonts w:eastAsia="Cambria Math"/>
              </w:rPr>
              <w:t>2</w:t>
            </w:r>
          </w:p>
        </w:tc>
        <w:tc>
          <w:tcPr>
            <w:tcW w:w="2546" w:type="dxa"/>
          </w:tcPr>
          <w:p>
            <w:pPr>
              <w:pStyle w:val="52"/>
              <w:rPr>
                <w:rFonts w:eastAsia="Cambria Math"/>
              </w:rPr>
            </w:pPr>
            <w:r>
              <w:rPr>
                <w:rFonts w:eastAsia="Cambria Math"/>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
      <w:r>
        <w:t>For UEs supporting uplink full power transmission (ULFPTx) for UL MIMO, the maximum output power requirements specified in Table 6.2D.1</w:t>
      </w:r>
      <w:r>
        <w:rPr>
          <w:lang w:eastAsia="zh-CN"/>
        </w:rPr>
        <w:t>.3</w:t>
      </w:r>
      <w:r>
        <w:t>-1 shall be met with the PUSCH configurations specified in Table 6.2D.1.3-3, based upon UE’s support of uplink full power transmission mode.</w:t>
      </w:r>
    </w:p>
    <w:p>
      <w:pPr>
        <w:pStyle w:val="55"/>
      </w:pPr>
      <w:r>
        <w:t>Table 6.2</w:t>
      </w:r>
      <w:r>
        <w:rPr>
          <w:lang w:eastAsia="zh-CN"/>
        </w:rPr>
        <w:t>D</w:t>
      </w:r>
      <w:r>
        <w:t>.</w:t>
      </w:r>
      <w:r>
        <w:rPr>
          <w:lang w:eastAsia="zh-CN"/>
        </w:rPr>
        <w:t>1.3</w:t>
      </w:r>
      <w:r>
        <w:t>-3: PUSCH Configuration for uplink full power transmission (ULFPTx)</w:t>
      </w:r>
    </w:p>
    <w:tbl>
      <w:tblPr>
        <w:tblStyle w:val="47"/>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ambria Math"/>
              </w:rPr>
            </w:pPr>
            <w:r>
              <w:rPr>
                <w:rFonts w:eastAsia="Cambria Math"/>
              </w:rPr>
              <w:t xml:space="preserve">DCI format </w:t>
            </w:r>
          </w:p>
        </w:tc>
        <w:tc>
          <w:tcPr>
            <w:tcW w:w="2693" w:type="dxa"/>
          </w:tcPr>
          <w:p>
            <w:pPr>
              <w:pStyle w:val="51"/>
              <w:rPr>
                <w:rFonts w:eastAsia="Cambria Math"/>
              </w:rPr>
            </w:pPr>
            <w:r>
              <w:rPr>
                <w:rFonts w:eastAsia="Cambria Math"/>
              </w:rPr>
              <w:t>Modulation</w:t>
            </w:r>
          </w:p>
        </w:tc>
        <w:tc>
          <w:tcPr>
            <w:tcW w:w="993" w:type="dxa"/>
          </w:tcPr>
          <w:p>
            <w:pPr>
              <w:pStyle w:val="51"/>
              <w:rPr>
                <w:rFonts w:eastAsia="Cambria Math"/>
              </w:rPr>
            </w:pPr>
            <w:r>
              <w:rPr>
                <w:rFonts w:eastAsia="Cambria Math"/>
              </w:rPr>
              <w:t>Number of layers</w:t>
            </w:r>
          </w:p>
        </w:tc>
        <w:tc>
          <w:tcPr>
            <w:tcW w:w="1134" w:type="dxa"/>
          </w:tcPr>
          <w:p>
            <w:pPr>
              <w:pStyle w:val="51"/>
              <w:rPr>
                <w:rFonts w:eastAsia="Cambria Math"/>
              </w:rPr>
            </w:pPr>
            <w:r>
              <w:rPr>
                <w:rFonts w:eastAsia="Cambria Math"/>
              </w:rPr>
              <w:t>Number of Tx Port</w:t>
            </w:r>
          </w:p>
        </w:tc>
        <w:tc>
          <w:tcPr>
            <w:tcW w:w="1134" w:type="dxa"/>
          </w:tcPr>
          <w:p>
            <w:pPr>
              <w:pStyle w:val="51"/>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r>
              <w:rPr>
                <w:rFonts w:eastAsia="Cambria Math"/>
                <w:vertAlign w:val="superscript"/>
              </w:rPr>
              <w:t xml:space="preserve"> NOTE3</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0 or 1</w:t>
            </w:r>
            <w:r>
              <w:rPr>
                <w:rFonts w:eastAsia="Cambria Math"/>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tab/>
            </w:r>
            <w:r>
              <w:rPr>
                <w:color w:val="000000"/>
              </w:rPr>
              <w:t>TPMI index selected shall be based upon the full power TPMI reported by the UE [9].</w:t>
            </w:r>
          </w:p>
          <w:p>
            <w:pPr>
              <w:pStyle w:val="66"/>
              <w:rPr>
                <w:color w:val="000000"/>
              </w:rPr>
            </w:pPr>
            <w:r>
              <w:rPr>
                <w:color w:val="000000"/>
              </w:rPr>
              <w:t>NOTE 3:</w:t>
            </w:r>
            <w:r>
              <w:tab/>
            </w:r>
            <w:r>
              <w:rPr>
                <w:color w:val="000000"/>
              </w:rPr>
              <w:t>For PUSCH configured with ULFPTx Mode set to Mode-1, all the transmitter requirement for CP-OFDM based modulation is not needed to be verified if the requirement for UL MIMO has been validated.</w:t>
            </w:r>
          </w:p>
        </w:tc>
      </w:tr>
    </w:tbl>
    <w:p>
      <w:pPr>
        <w:rPr>
          <w:lang w:eastAsia="zh-CN"/>
        </w:rPr>
      </w:pPr>
    </w:p>
    <w:p>
      <w:r>
        <w:t xml:space="preserve">If UE </w:t>
      </w:r>
      <w:ins w:id="9" w:author="Yu SHI-China Unicom" w:date="2021-11-09T15:26:32Z">
        <w:r>
          <w:rPr/>
          <w:t xml:space="preserve">not indicating </w:t>
        </w:r>
      </w:ins>
      <w:ins w:id="10" w:author="Yu SHI-China Unicom" w:date="2021-11-09T15:26:32Z">
        <w:r>
          <w:rPr>
            <w:color w:val="FF0000"/>
            <w:u w:val="single"/>
          </w:rPr>
          <w:t>Tx diversity [</w:t>
        </w:r>
      </w:ins>
      <w:ins w:id="11" w:author="Yu SHI-China Unicom" w:date="2021-11-09T15:26:32Z">
        <w:r>
          <w:rPr>
            <w:rFonts w:eastAsia="MS Mincho"/>
          </w:rPr>
          <w:t>xx</w:t>
        </w:r>
      </w:ins>
      <w:ins w:id="12" w:author="Yu SHI-China Unicom" w:date="2021-11-09T15:26:32Z">
        <w:r>
          <w:rPr>
            <w:color w:val="FF0000"/>
            <w:u w:val="single"/>
          </w:rPr>
          <w:t xml:space="preserve">, TS 38.306] </w:t>
        </w:r>
      </w:ins>
      <w:r>
        <w:t xml:space="preserve">is scheduled for single antenna-port PUSCH transmission by DCI format 0_0 or by DCI format 0_1 for single antenna port codebook based transmission, the requirements in clause 6.2.1 apply for the power class as indicated by the </w:t>
      </w:r>
      <w:r>
        <w:rPr>
          <w:i/>
        </w:rPr>
        <w:t>ue-PowerClass</w:t>
      </w:r>
      <w:r>
        <w:t xml:space="preserve"> field in capability signaling.</w:t>
      </w:r>
    </w:p>
    <w:p>
      <w:r>
        <w:t>The normative reference for this requirement is TS 38.101-1 [2] clause 6.2D.1.</w:t>
      </w:r>
    </w:p>
    <w:p>
      <w:pPr>
        <w:pStyle w:val="8"/>
      </w:pPr>
      <w:bookmarkStart w:id="103" w:name="_Toc52990019"/>
      <w:bookmarkStart w:id="104" w:name="_Toc60825137"/>
      <w:bookmarkStart w:id="105" w:name="_Toc36226579"/>
      <w:bookmarkStart w:id="106" w:name="_Toc27477886"/>
      <w:bookmarkStart w:id="107" w:name="_Toc44323836"/>
      <w:bookmarkStart w:id="108" w:name="_Toc69306034"/>
      <w:bookmarkStart w:id="109" w:name="_Toc60823215"/>
      <w:r>
        <w:t>6.2D.1.4</w:t>
      </w:r>
      <w:r>
        <w:tab/>
      </w:r>
      <w:r>
        <w:t>Test description</w:t>
      </w:r>
      <w:bookmarkEnd w:id="103"/>
      <w:bookmarkEnd w:id="104"/>
      <w:bookmarkEnd w:id="105"/>
      <w:bookmarkEnd w:id="106"/>
      <w:bookmarkEnd w:id="107"/>
      <w:bookmarkEnd w:id="108"/>
      <w:bookmarkEnd w:id="109"/>
    </w:p>
    <w:p>
      <w:pPr>
        <w:pStyle w:val="8"/>
      </w:pPr>
      <w:bookmarkStart w:id="110" w:name="_Toc52990020"/>
      <w:bookmarkStart w:id="111" w:name="_Toc27477887"/>
      <w:bookmarkStart w:id="112" w:name="_Toc60825138"/>
      <w:bookmarkStart w:id="113" w:name="_Toc60823216"/>
      <w:bookmarkStart w:id="114" w:name="_Toc36226580"/>
      <w:bookmarkStart w:id="115" w:name="_Toc44323837"/>
      <w:bookmarkStart w:id="116" w:name="_Toc69306035"/>
      <w:r>
        <w:t>6.2D.1.4.1</w:t>
      </w:r>
      <w:r>
        <w:tab/>
      </w:r>
      <w:r>
        <w:t>Initial conditions</w:t>
      </w:r>
      <w:bookmarkEnd w:id="110"/>
      <w:bookmarkEnd w:id="111"/>
      <w:bookmarkEnd w:id="112"/>
      <w:bookmarkEnd w:id="113"/>
      <w:bookmarkEnd w:id="114"/>
      <w:bookmarkEnd w:id="115"/>
      <w:bookmarkEnd w:id="116"/>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pPr>
        <w:pStyle w:val="55"/>
      </w:pPr>
      <w:r>
        <w:t>Table 6.2D.1.4.1-1: Test Configuration Table for 2-layer UL MIMO</w:t>
      </w:r>
    </w:p>
    <w:p>
      <w:pPr>
        <w:pStyle w:val="56"/>
        <w:rPr>
          <w:lang w:eastAsia="zh-TW"/>
        </w:rPr>
      </w:pPr>
      <w:r>
        <w:t xml:space="preserve">NOTE: No test points are defined </w:t>
      </w:r>
      <w:r>
        <w:rPr>
          <w:lang w:eastAsia="zh-TW"/>
        </w:rPr>
        <w:t>since there is no configuration satisfying MPR=0dB requirements in RAN4.</w:t>
      </w:r>
    </w:p>
    <w:p>
      <w:pPr>
        <w:rPr>
          <w:lang w:eastAsia="zh-TW"/>
        </w:rPr>
      </w:pPr>
    </w:p>
    <w:p>
      <w:pPr>
        <w:pStyle w:val="55"/>
      </w:pPr>
      <w:r>
        <w:t>Table 6.2D.1.4.1-2: Test Configuration Table for uplink full power transmission (</w:t>
      </w:r>
      <w:bookmarkStart w:id="117" w:name="OLE_LINK63"/>
      <w:r>
        <w:t>ULFPTx</w:t>
      </w:r>
      <w:bookmarkEnd w:id="117"/>
      <w:r>
        <w: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maximum output </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rPr>
                <w:lang w:eastAsia="zh-CN"/>
              </w:rP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6.2D.1.4.1-1 and Table 6.2D.1.4.1-2.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pPr>
        <w:pStyle w:val="8"/>
      </w:pPr>
      <w:bookmarkStart w:id="118" w:name="_Toc52990021"/>
      <w:bookmarkStart w:id="119" w:name="_Toc60825139"/>
      <w:bookmarkStart w:id="120" w:name="_Toc27477888"/>
      <w:bookmarkStart w:id="121" w:name="_Toc60823217"/>
      <w:bookmarkStart w:id="122" w:name="_Toc69306036"/>
      <w:bookmarkStart w:id="123" w:name="_Toc36226581"/>
      <w:bookmarkStart w:id="124" w:name="_Toc44323838"/>
      <w:r>
        <w:t>6.2D.1.4.2</w:t>
      </w:r>
      <w:r>
        <w:tab/>
      </w:r>
      <w:r>
        <w:t>Test procedure</w:t>
      </w:r>
      <w:bookmarkEnd w:id="118"/>
      <w:bookmarkEnd w:id="119"/>
      <w:bookmarkEnd w:id="120"/>
      <w:bookmarkEnd w:id="121"/>
      <w:bookmarkEnd w:id="122"/>
      <w:bookmarkEnd w:id="123"/>
      <w:bookmarkEnd w:id="124"/>
    </w:p>
    <w:p>
      <w:pPr>
        <w:pStyle w:val="75"/>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75"/>
      </w:pPr>
      <w:r>
        <w:t>4.</w:t>
      </w:r>
      <w:r>
        <w:tab/>
      </w:r>
      <w:r>
        <w:t>If UE supports ULFPTx, repeat test steps 1~3 with UL RMC according to Table 6.2D.1.4.1-2.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pPr>
        <w:pStyle w:val="8"/>
      </w:pPr>
      <w:bookmarkStart w:id="125" w:name="_Toc44323839"/>
      <w:bookmarkStart w:id="126" w:name="_Toc60825140"/>
      <w:bookmarkStart w:id="127" w:name="_Toc27477889"/>
      <w:bookmarkStart w:id="128" w:name="_Toc52990022"/>
      <w:bookmarkStart w:id="129" w:name="_Toc69306037"/>
      <w:bookmarkStart w:id="130" w:name="_Toc36226582"/>
      <w:bookmarkStart w:id="131" w:name="_Toc60823218"/>
      <w:r>
        <w:t>6.2D.1.4.3</w:t>
      </w:r>
      <w:r>
        <w:tab/>
      </w:r>
      <w:r>
        <w:t>Message contents</w:t>
      </w:r>
      <w:bookmarkEnd w:id="125"/>
      <w:bookmarkEnd w:id="126"/>
      <w:bookmarkEnd w:id="127"/>
      <w:bookmarkEnd w:id="128"/>
      <w:bookmarkEnd w:id="129"/>
      <w:bookmarkEnd w:id="130"/>
      <w:bookmarkEnd w:id="131"/>
    </w:p>
    <w:p>
      <w:r>
        <w:t>Message contents are according to TS 38.508-1 [5] subclause 4.6 and 5.4 ensuring Table 4.6.3-182 with the condition 2TX_UL_MIMO.</w:t>
      </w:r>
    </w:p>
    <w:p>
      <w:pPr>
        <w:pStyle w:val="8"/>
      </w:pPr>
      <w:bookmarkStart w:id="132" w:name="_Toc36226583"/>
      <w:bookmarkStart w:id="133" w:name="_Toc44323840"/>
      <w:bookmarkStart w:id="134" w:name="_Toc52990023"/>
      <w:bookmarkStart w:id="135" w:name="_Toc60825141"/>
      <w:bookmarkStart w:id="136" w:name="_Toc60823219"/>
      <w:bookmarkStart w:id="137" w:name="_Toc69306038"/>
      <w:bookmarkStart w:id="138" w:name="_Toc27477890"/>
      <w:r>
        <w:t>6.2D.1.5</w:t>
      </w:r>
      <w:r>
        <w:tab/>
      </w:r>
      <w:r>
        <w:t>Test requirement</w:t>
      </w:r>
      <w:bookmarkEnd w:id="132"/>
      <w:bookmarkEnd w:id="133"/>
      <w:bookmarkEnd w:id="134"/>
      <w:bookmarkEnd w:id="135"/>
      <w:bookmarkEnd w:id="136"/>
      <w:bookmarkEnd w:id="137"/>
      <w:bookmarkEnd w:id="138"/>
    </w:p>
    <w:p>
      <w:r>
        <w:t>The maximum output power, derived in step 3 or step 4 shall be within the range prescribed by the nominal maximum output power and tolerance in Table 6.2D.1.5-1.</w:t>
      </w:r>
    </w:p>
    <w:p>
      <w:pPr>
        <w:pStyle w:val="55"/>
      </w:pPr>
      <w:r>
        <w:t>Table 6.2D.1.5-1: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1"/>
            </w:pPr>
            <w:r>
              <w:t>NR band</w:t>
            </w:r>
          </w:p>
        </w:tc>
        <w:tc>
          <w:tcPr>
            <w:tcW w:w="772" w:type="dxa"/>
          </w:tcPr>
          <w:p>
            <w:pPr>
              <w:pStyle w:val="51"/>
            </w:pPr>
            <w:r>
              <w:t>Class 1 (dBm)</w:t>
            </w:r>
          </w:p>
        </w:tc>
        <w:tc>
          <w:tcPr>
            <w:tcW w:w="1067" w:type="dxa"/>
          </w:tcPr>
          <w:p>
            <w:pPr>
              <w:pStyle w:val="51"/>
            </w:pPr>
            <w:r>
              <w:t>Tolerance (dB)</w:t>
            </w:r>
          </w:p>
        </w:tc>
        <w:tc>
          <w:tcPr>
            <w:tcW w:w="771" w:type="dxa"/>
          </w:tcPr>
          <w:p>
            <w:pPr>
              <w:pStyle w:val="51"/>
            </w:pPr>
            <w:r>
              <w:rPr>
                <w:kern w:val="2"/>
                <w:szCs w:val="22"/>
              </w:rPr>
              <w:t>Class 1.5 (dBm)</w:t>
            </w:r>
          </w:p>
        </w:tc>
        <w:tc>
          <w:tcPr>
            <w:tcW w:w="1053" w:type="dxa"/>
          </w:tcPr>
          <w:p>
            <w:pPr>
              <w:pStyle w:val="51"/>
            </w:pPr>
            <w:r>
              <w:rPr>
                <w:kern w:val="2"/>
                <w:szCs w:val="22"/>
              </w:rPr>
              <w:t>Tolerance (dB)</w:t>
            </w:r>
          </w:p>
        </w:tc>
        <w:tc>
          <w:tcPr>
            <w:tcW w:w="771" w:type="dxa"/>
          </w:tcPr>
          <w:p>
            <w:pPr>
              <w:pStyle w:val="51"/>
            </w:pPr>
            <w:r>
              <w:t>Class 2 (dBm)</w:t>
            </w:r>
          </w:p>
        </w:tc>
        <w:tc>
          <w:tcPr>
            <w:tcW w:w="1067" w:type="dxa"/>
          </w:tcPr>
          <w:p>
            <w:pPr>
              <w:pStyle w:val="51"/>
            </w:pPr>
            <w:r>
              <w:t>Tolerance (dB)</w:t>
            </w:r>
          </w:p>
        </w:tc>
        <w:tc>
          <w:tcPr>
            <w:tcW w:w="760" w:type="dxa"/>
          </w:tcPr>
          <w:p>
            <w:pPr>
              <w:pStyle w:val="51"/>
            </w:pPr>
            <w:r>
              <w:t>Class 3 (dBm)</w:t>
            </w:r>
          </w:p>
        </w:tc>
        <w:tc>
          <w:tcPr>
            <w:tcW w:w="1091" w:type="dxa"/>
          </w:tcPr>
          <w:p>
            <w:pPr>
              <w:pStyle w:val="51"/>
            </w:pPr>
            <w:r>
              <w:t>Tolerance (dB)</w:t>
            </w:r>
          </w:p>
        </w:tc>
        <w:tc>
          <w:tcPr>
            <w:tcW w:w="767" w:type="dxa"/>
          </w:tcPr>
          <w:p>
            <w:pPr>
              <w:pStyle w:val="51"/>
            </w:pPr>
            <w:r>
              <w:t>Class 4 (dBm)</w:t>
            </w:r>
          </w:p>
        </w:tc>
        <w:tc>
          <w:tcPr>
            <w:tcW w:w="1091"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77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71"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60" w:type="dxa"/>
            <w:tcBorders>
              <w:top w:val="single" w:color="auto" w:sz="4" w:space="0"/>
              <w:left w:val="single" w:color="auto" w:sz="4" w:space="0"/>
              <w:bottom w:val="single" w:color="auto" w:sz="4" w:space="0"/>
              <w:right w:val="single" w:color="auto" w:sz="4" w:space="0"/>
            </w:tcBorders>
          </w:tcPr>
          <w:p>
            <w:pPr>
              <w:pStyle w:val="52"/>
            </w:pPr>
            <w: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2"/>
            </w:pPr>
          </w:p>
        </w:tc>
        <w:tc>
          <w:tcPr>
            <w:tcW w:w="1091"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pPr>
            <w:r>
              <w:t>n30</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p>
        </w:tc>
        <w:tc>
          <w:tcPr>
            <w:tcW w:w="1067" w:type="dxa"/>
          </w:tcPr>
          <w:p>
            <w:pPr>
              <w:pStyle w:val="52"/>
              <w:rPr>
                <w:rFonts w:eastAsia="CG Times (WN)"/>
              </w:rPr>
            </w:pPr>
          </w:p>
        </w:tc>
        <w:tc>
          <w:tcPr>
            <w:tcW w:w="760" w:type="dxa"/>
          </w:tcPr>
          <w:p>
            <w:pPr>
              <w:pStyle w:val="52"/>
              <w:rPr>
                <w:rFonts w:eastAsia="CG Times (WN)"/>
              </w:rPr>
            </w:pPr>
            <w:r>
              <w:rPr>
                <w:rFonts w:eastAsia="CG Times (WN)"/>
              </w:rPr>
              <w:t>23</w:t>
            </w:r>
          </w:p>
        </w:tc>
        <w:tc>
          <w:tcPr>
            <w:tcW w:w="1091" w:type="dxa"/>
          </w:tcPr>
          <w:p>
            <w:pPr>
              <w:pStyle w:val="52"/>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n38</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pPr>
            <w:r>
              <w:t>n41</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r>
              <w:rPr>
                <w:kern w:val="2"/>
                <w:szCs w:val="22"/>
              </w:rPr>
              <w:t>29</w:t>
            </w:r>
          </w:p>
        </w:tc>
        <w:tc>
          <w:tcPr>
            <w:tcW w:w="1053" w:type="dxa"/>
          </w:tcPr>
          <w:p>
            <w:pPr>
              <w:pStyle w:val="52"/>
              <w:rPr>
                <w:rFonts w:eastAsia="CG Times (WN)"/>
              </w:rPr>
            </w:pPr>
            <w:r>
              <w:rPr>
                <w:kern w:val="2"/>
                <w:szCs w:val="22"/>
              </w:rPr>
              <w:t>_</w:t>
            </w:r>
            <w:r>
              <w:rPr>
                <w:rFonts w:hint="eastAsia"/>
                <w:kern w:val="2"/>
                <w:szCs w:val="22"/>
                <w:lang w:val="en-US" w:eastAsia="zh-CN"/>
              </w:rPr>
              <w:t>+</w:t>
            </w:r>
            <w:r>
              <w:rPr>
                <w:kern w:val="2"/>
                <w:szCs w:val="22"/>
              </w:rPr>
              <w:t>2</w:t>
            </w:r>
            <w:r>
              <w:rPr>
                <w:rFonts w:eastAsia="CG Times (WN)"/>
                <w:kern w:val="2"/>
                <w:szCs w:val="22"/>
              </w:rPr>
              <w:t>+TT</w:t>
            </w:r>
            <w:r>
              <w:rPr>
                <w:kern w:val="2"/>
                <w:szCs w:val="22"/>
              </w:rPr>
              <w:t>/-3</w:t>
            </w:r>
            <w:r>
              <w:rPr>
                <w:rFonts w:hint="eastAsia"/>
                <w:kern w:val="2"/>
                <w:szCs w:val="22"/>
                <w:vertAlign w:val="superscript"/>
                <w:lang w:val="en-US" w:eastAsia="zh-CN"/>
              </w:rPr>
              <w:t>1</w:t>
            </w:r>
            <w:r>
              <w:rPr>
                <w:rFonts w:eastAsia="CG Times (WN)"/>
                <w:kern w:val="2"/>
                <w:szCs w:val="22"/>
              </w:rPr>
              <w:t>-TT</w:t>
            </w:r>
          </w:p>
        </w:tc>
        <w:tc>
          <w:tcPr>
            <w:tcW w:w="771"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Pr>
          <w:p>
            <w:pPr>
              <w:pStyle w:val="52"/>
            </w:pPr>
            <w:r>
              <w:rPr>
                <w:rFonts w:eastAsia="CG Times (WN)"/>
              </w:rPr>
              <w:t>2</w:t>
            </w:r>
            <w:r>
              <w:t>3</w:t>
            </w:r>
          </w:p>
        </w:tc>
        <w:tc>
          <w:tcPr>
            <w:tcW w:w="1091" w:type="dxa"/>
          </w:tcPr>
          <w:p>
            <w:pPr>
              <w:pStyle w:val="52"/>
              <w:rPr>
                <w:rFonts w:eastAsia="CG Times (WN)"/>
              </w:rPr>
            </w:pPr>
            <w:r>
              <w:t>+2+TT/-3</w:t>
            </w:r>
            <w:r>
              <w:rPr>
                <w:vertAlign w:val="superscript"/>
              </w:rPr>
              <w:t>1</w:t>
            </w:r>
            <w:r>
              <w:rPr>
                <w:rFonts w:eastAsia="CG Times (WN)"/>
              </w:rPr>
              <w:t>-TT</w:t>
            </w:r>
          </w:p>
        </w:tc>
        <w:tc>
          <w:tcPr>
            <w:tcW w:w="767" w:type="dxa"/>
          </w:tcPr>
          <w:p>
            <w:pPr>
              <w:pStyle w:val="52"/>
              <w:rPr>
                <w:rFonts w:eastAsia="CG Times (WN)"/>
              </w:rPr>
            </w:pPr>
          </w:p>
        </w:tc>
        <w:tc>
          <w:tcPr>
            <w:tcW w:w="1091"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rPr>
                <w:rFonts w:eastAsia="CG Times (WN)"/>
              </w:rPr>
            </w:pPr>
            <w:r>
              <w:rPr>
                <w:rFonts w:eastAsia="CG Times (WN)"/>
              </w:rPr>
              <w:t>n77</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+2+TT/-3-TT</w:t>
            </w:r>
          </w:p>
        </w:tc>
        <w:tc>
          <w:tcPr>
            <w:tcW w:w="760" w:type="dxa"/>
          </w:tcPr>
          <w:p>
            <w:pPr>
              <w:pStyle w:val="52"/>
            </w:pPr>
            <w:r>
              <w:rPr>
                <w:rFonts w:eastAsia="CG Times (WN)"/>
              </w:rPr>
              <w:t>2</w:t>
            </w:r>
            <w:r>
              <w:t>3</w:t>
            </w:r>
          </w:p>
        </w:tc>
        <w:tc>
          <w:tcPr>
            <w:tcW w:w="1091" w:type="dxa"/>
          </w:tcPr>
          <w:p>
            <w:pPr>
              <w:pStyle w:val="52"/>
              <w:rPr>
                <w:rFonts w:eastAsia="CG Times (WN)"/>
              </w:rPr>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rPr>
                <w:rFonts w:eastAsia="CG Times (WN)"/>
              </w:rPr>
            </w:pPr>
            <w:r>
              <w:rPr>
                <w:rFonts w:eastAsia="CG Times (WN)"/>
              </w:rPr>
              <w:t>n78</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+2+TT/-3-TT</w:t>
            </w:r>
          </w:p>
        </w:tc>
        <w:tc>
          <w:tcPr>
            <w:tcW w:w="760" w:type="dxa"/>
          </w:tcPr>
          <w:p>
            <w:pPr>
              <w:pStyle w:val="52"/>
            </w:pPr>
            <w:r>
              <w:t>23</w:t>
            </w:r>
          </w:p>
        </w:tc>
        <w:tc>
          <w:tcPr>
            <w:tcW w:w="1091" w:type="dxa"/>
          </w:tcPr>
          <w:p>
            <w:pPr>
              <w:pStyle w:val="52"/>
              <w:rPr>
                <w:rFonts w:eastAsia="CG Times (WN)"/>
              </w:rPr>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pPr>
            <w:r>
              <w:rPr>
                <w:rFonts w:eastAsia="CG Times (WN)"/>
              </w:rPr>
              <w:t>n7</w:t>
            </w:r>
            <w:r>
              <w:t>9</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+2+TT/-3-TT</w:t>
            </w:r>
          </w:p>
        </w:tc>
        <w:tc>
          <w:tcPr>
            <w:tcW w:w="760" w:type="dxa"/>
          </w:tcPr>
          <w:p>
            <w:pPr>
              <w:pStyle w:val="52"/>
            </w:pPr>
            <w:r>
              <w:rPr>
                <w:rFonts w:eastAsia="CG Times (WN)"/>
              </w:rPr>
              <w:t>23</w:t>
            </w:r>
          </w:p>
        </w:tc>
        <w:tc>
          <w:tcPr>
            <w:tcW w:w="1091" w:type="dxa"/>
          </w:tcPr>
          <w:p>
            <w:pPr>
              <w:pStyle w:val="52"/>
            </w:pPr>
            <w:r>
              <w:rPr>
                <w:rFonts w:eastAsia="CG Times (WN)"/>
              </w:rPr>
              <w:t>+2+TT/-3-TT</w:t>
            </w:r>
          </w:p>
        </w:tc>
        <w:tc>
          <w:tcPr>
            <w:tcW w:w="767" w:type="dxa"/>
          </w:tcPr>
          <w:p>
            <w:pPr>
              <w:pStyle w:val="52"/>
              <w:rPr>
                <w:rFonts w:eastAsia="CG Times (WN)"/>
              </w:rPr>
            </w:pPr>
          </w:p>
        </w:tc>
        <w:tc>
          <w:tcPr>
            <w:tcW w:w="1091"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rPr>
                <w:rFonts w:eastAsia="CG Times (WN)"/>
              </w:rPr>
            </w:pPr>
            <w:r>
              <w:rPr>
                <w:rFonts w:hint="eastAsia"/>
                <w:lang w:eastAsia="zh-CN"/>
              </w:rPr>
              <w:t>n</w:t>
            </w:r>
            <w:r>
              <w:rPr>
                <w:lang w:eastAsia="zh-CN"/>
              </w:rPr>
              <w:t>97</w:t>
            </w:r>
          </w:p>
        </w:tc>
        <w:tc>
          <w:tcPr>
            <w:tcW w:w="772" w:type="dxa"/>
          </w:tcPr>
          <w:p>
            <w:pPr>
              <w:pStyle w:val="52"/>
              <w:rPr>
                <w:rFonts w:eastAsia="CG Times (WN)"/>
              </w:rPr>
            </w:pPr>
          </w:p>
        </w:tc>
        <w:tc>
          <w:tcPr>
            <w:tcW w:w="1067" w:type="dxa"/>
          </w:tcPr>
          <w:p>
            <w:pPr>
              <w:pStyle w:val="52"/>
              <w:rPr>
                <w:rFonts w:eastAsia="CG Times (WN)"/>
              </w:rPr>
            </w:pPr>
          </w:p>
        </w:tc>
        <w:tc>
          <w:tcPr>
            <w:tcW w:w="771" w:type="dxa"/>
          </w:tcPr>
          <w:p>
            <w:pPr>
              <w:pStyle w:val="52"/>
              <w:rPr>
                <w:rFonts w:eastAsia="CG Times (WN)"/>
              </w:rPr>
            </w:pPr>
          </w:p>
        </w:tc>
        <w:tc>
          <w:tcPr>
            <w:tcW w:w="1053" w:type="dxa"/>
          </w:tcPr>
          <w:p>
            <w:pPr>
              <w:pStyle w:val="52"/>
              <w:rPr>
                <w:rFonts w:eastAsia="CG Times (WN)"/>
              </w:rPr>
            </w:pPr>
          </w:p>
        </w:tc>
        <w:tc>
          <w:tcPr>
            <w:tcW w:w="771" w:type="dxa"/>
          </w:tcPr>
          <w:p>
            <w:pPr>
              <w:pStyle w:val="52"/>
              <w:rPr>
                <w:rFonts w:eastAsia="CG Times (WN)"/>
              </w:rPr>
            </w:pPr>
          </w:p>
        </w:tc>
        <w:tc>
          <w:tcPr>
            <w:tcW w:w="1067" w:type="dxa"/>
          </w:tcPr>
          <w:p>
            <w:pPr>
              <w:pStyle w:val="52"/>
              <w:rPr>
                <w:rFonts w:eastAsia="CG Times (WN)"/>
              </w:rPr>
            </w:pPr>
          </w:p>
        </w:tc>
        <w:tc>
          <w:tcPr>
            <w:tcW w:w="760" w:type="dxa"/>
          </w:tcPr>
          <w:p>
            <w:pPr>
              <w:pStyle w:val="52"/>
              <w:rPr>
                <w:rFonts w:eastAsia="CG Times (WN)"/>
              </w:rPr>
            </w:pPr>
            <w:r>
              <w:rPr>
                <w:rFonts w:hint="eastAsia"/>
                <w:lang w:eastAsia="zh-CN"/>
              </w:rPr>
              <w:t>2</w:t>
            </w:r>
            <w:r>
              <w:rPr>
                <w:lang w:eastAsia="zh-CN"/>
              </w:rPr>
              <w:t>3</w:t>
            </w:r>
          </w:p>
        </w:tc>
        <w:tc>
          <w:tcPr>
            <w:tcW w:w="1091" w:type="dxa"/>
          </w:tcPr>
          <w:p>
            <w:pPr>
              <w:pStyle w:val="52"/>
              <w:rPr>
                <w:rFonts w:eastAsia="CG Times (WN)"/>
              </w:rPr>
            </w:pPr>
            <w:r>
              <w:rPr>
                <w:rFonts w:hint="eastAsia"/>
                <w:lang w:eastAsia="zh-CN"/>
              </w:rPr>
              <w:t>+</w:t>
            </w:r>
            <w:r>
              <w:rPr>
                <w:lang w:eastAsia="zh-CN"/>
              </w:rPr>
              <w:t>2+TT/-3-TT</w:t>
            </w:r>
          </w:p>
        </w:tc>
        <w:tc>
          <w:tcPr>
            <w:tcW w:w="767" w:type="dxa"/>
          </w:tcPr>
          <w:p>
            <w:pPr>
              <w:pStyle w:val="52"/>
              <w:rPr>
                <w:rFonts w:eastAsia="CG Times (WN)"/>
              </w:rPr>
            </w:pPr>
          </w:p>
        </w:tc>
        <w:tc>
          <w:tcPr>
            <w:tcW w:w="1091"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1" w:type="dxa"/>
            <w:gridSpan w:val="11"/>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lang w:eastAsia="zh-CN"/>
              </w:rPr>
            </w:pPr>
            <w:r>
              <w:rPr>
                <w:rFonts w:cs="Arial"/>
              </w:rPr>
              <w:t>NOTE 2:</w:t>
            </w:r>
            <w:r>
              <w:rPr>
                <w:rFonts w:cs="Arial"/>
              </w:rPr>
              <w:tab/>
            </w:r>
            <w:r>
              <w:rPr>
                <w:rFonts w:cs="Arial"/>
              </w:rPr>
              <w:t>TT for each frequency and channel bandwidth is specified in Table 6.2D.1.5-2</w:t>
            </w:r>
          </w:p>
        </w:tc>
      </w:tr>
    </w:tbl>
    <w:p/>
    <w:p>
      <w:pPr>
        <w:pStyle w:val="55"/>
      </w:pPr>
      <w:r>
        <w:t>Table 6.2D.1.5-2: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c>
          <w:tcPr>
            <w:tcW w:w="226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1.0 dB</w:t>
            </w:r>
          </w:p>
        </w:tc>
      </w:tr>
    </w:tbl>
    <w:p/>
    <w:p>
      <w:r>
        <w:t>For the UE which supports inter-band NR CA configuration, SUL configuration or inter-band EN-DC configuration, ΔT</w:t>
      </w:r>
      <w:r>
        <w:rPr>
          <w:vertAlign w:val="subscript"/>
        </w:rPr>
        <w:t>IB,c</w:t>
      </w:r>
      <w:r>
        <w:t xml:space="preserve"> as specified in 6.2A.4.0.2 for NR CA, clause 6.2C.2 for SUL, or TS 38.101-3 [4]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r>
        <w:t>a)</w:t>
      </w:r>
      <w:r>
        <w:tab/>
      </w:r>
      <w:r>
        <w:t>When the operating band frequency range is ≤ 1 GHz, the applicable additional ΔT</w:t>
      </w:r>
      <w:r>
        <w:rPr>
          <w:vertAlign w:val="subscript"/>
        </w:rPr>
        <w:t>IB,c</w:t>
      </w:r>
      <w: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ins w:id="13" w:author="Yu SHI-China Unicom" w:date="2021-11-09T15:34:26Z">
        <w:r>
          <w:rPr/>
          <w:t>.</w:t>
        </w:r>
      </w:ins>
    </w:p>
    <w:p>
      <w:r>
        <w:t>b)</w:t>
      </w:r>
      <w:r>
        <w:tab/>
      </w:r>
      <w:r>
        <w:t>When the operating band frequency range is &gt; 1 GHz, the applicable additional ΔT</w:t>
      </w:r>
      <w:r>
        <w:rPr>
          <w:vertAlign w:val="subscript"/>
        </w:rPr>
        <w:t>IB,c</w:t>
      </w:r>
      <w:r>
        <w:t xml:space="preserve"> shall be the maximum value for all band combinations defined in clause 6.2A.0.4.2, 6.2C.2 in this specification and 6.2B.4.2 in TS 38.101-3 [4] for the applicable operating bands.</w:t>
      </w:r>
    </w:p>
    <w:p/>
    <w:p>
      <w:pPr>
        <w:pStyle w:val="4"/>
        <w:rPr>
          <w:color w:val="FF0000"/>
        </w:rPr>
      </w:pPr>
      <w:r>
        <w:rPr>
          <w:color w:val="FF0000"/>
        </w:rPr>
        <w:t>&lt;Unchanged Text Skipped&gt;</w:t>
      </w:r>
    </w:p>
    <w:p>
      <w:pPr>
        <w:pStyle w:val="5"/>
        <w:rPr>
          <w:ins w:id="14" w:author="Yu SHI-China Unicom" w:date="2021-11-09T15:56:14Z"/>
        </w:rPr>
      </w:pPr>
      <w:bookmarkStart w:id="139" w:name="_Toc44324158"/>
      <w:bookmarkStart w:id="140" w:name="_Toc69306271"/>
      <w:bookmarkStart w:id="141" w:name="_Toc60825473"/>
      <w:bookmarkStart w:id="142" w:name="_Toc83720742"/>
      <w:bookmarkStart w:id="143" w:name="_Toc76020259"/>
      <w:bookmarkStart w:id="144" w:name="_Toc36226873"/>
      <w:bookmarkStart w:id="145" w:name="_Toc27478161"/>
      <w:bookmarkStart w:id="146" w:name="_Toc60823551"/>
      <w:bookmarkStart w:id="147" w:name="_Toc69309936"/>
      <w:bookmarkStart w:id="148" w:name="_Toc52990352"/>
      <w:r>
        <w:t>6.5.2.2</w:t>
      </w:r>
      <w:r>
        <w:tab/>
      </w:r>
      <w:r>
        <w:t>Spectrum emission mask</w:t>
      </w:r>
      <w:bookmarkEnd w:id="139"/>
      <w:bookmarkEnd w:id="140"/>
      <w:bookmarkEnd w:id="141"/>
      <w:bookmarkEnd w:id="142"/>
      <w:bookmarkEnd w:id="143"/>
      <w:bookmarkEnd w:id="144"/>
      <w:bookmarkEnd w:id="145"/>
      <w:bookmarkEnd w:id="146"/>
      <w:bookmarkEnd w:id="147"/>
      <w:bookmarkEnd w:id="148"/>
    </w:p>
    <w:p>
      <w:pPr>
        <w:pStyle w:val="74"/>
        <w:rPr>
          <w:ins w:id="15" w:author="Yu SHI-China Unicom" w:date="2021-11-09T15:56:17Z"/>
          <w:lang w:eastAsia="zh-CN"/>
        </w:rPr>
      </w:pPr>
      <w:ins w:id="16" w:author="Yu SHI-China Unicom" w:date="2021-11-09T15:56:17Z">
        <w:r>
          <w:rPr>
            <w:lang w:eastAsia="zh-CN"/>
          </w:rPr>
          <w:t>Editor’s Note: The following aspects are either missing or not yet determined:</w:t>
        </w:r>
      </w:ins>
    </w:p>
    <w:p>
      <w:pPr>
        <w:pStyle w:val="74"/>
      </w:pPr>
      <w:ins w:id="17" w:author="Yu SHI-China Unicom" w:date="2021-11-09T15:56:17Z">
        <w:r>
          <w:rPr/>
          <w:t>- PC1 requirements for NR operating bands other than Band n14 are not defined in RAN4 Rel-15 and Rel-16 specifications.</w:t>
        </w:r>
      </w:ins>
      <w:ins w:id="18" w:author="Yu SHI-China Unicom" w:date="2021-11-09T15:56:17Z">
        <w:r>
          <w:rPr>
            <w:rFonts w:eastAsia="宋体"/>
            <w:lang w:eastAsia="zh-CN"/>
          </w:rPr>
          <w:t xml:space="preserve"> </w:t>
        </w:r>
      </w:ins>
    </w:p>
    <w:p>
      <w:pPr>
        <w:rPr>
          <w:del w:id="19" w:author="Yu SHI-China Unicom" w:date="2021-11-09T15:45:13Z"/>
          <w:snapToGrid w:val="0"/>
        </w:rPr>
      </w:pPr>
      <w:del w:id="20" w:author="Yu SHI-China Unicom" w:date="2021-11-09T15:45:13Z">
        <w:r>
          <w:rPr/>
          <w:delText>The spectrum emission mask of the UE applies to frequencies (Δf</w:delText>
        </w:r>
      </w:del>
      <w:del w:id="21" w:author="Yu SHI-China Unicom" w:date="2021-11-09T15:45:13Z">
        <w:r>
          <w:rPr>
            <w:vertAlign w:val="subscript"/>
          </w:rPr>
          <w:delText>OOB</w:delText>
        </w:r>
      </w:del>
      <w:del w:id="22" w:author="Yu SHI-China Unicom" w:date="2021-11-09T15:45:13Z">
        <w:r>
          <w:rPr>
            <w:snapToGrid w:val="0"/>
          </w:rPr>
          <w:delText>)</w:delText>
        </w:r>
      </w:del>
      <w:del w:id="23" w:author="Yu SHI-China Unicom" w:date="2021-11-09T15:45:13Z">
        <w:r>
          <w:rPr/>
          <w:delText xml:space="preserve"> starting from the </w:delText>
        </w:r>
      </w:del>
      <w:del w:id="24" w:author="Yu SHI-China Unicom" w:date="2021-11-09T15:45:13Z">
        <w:r>
          <w:rPr/>
          <w:sym w:font="Symbol" w:char="F0B1"/>
        </w:r>
      </w:del>
      <w:del w:id="25" w:author="Yu SHI-China Unicom" w:date="2021-11-09T15:45:13Z">
        <w:r>
          <w:rPr/>
          <w:delText xml:space="preserve"> edge of the assigned NR channel bandwidth. For frequencies offset greater than Δf</w:delText>
        </w:r>
      </w:del>
      <w:del w:id="26" w:author="Yu SHI-China Unicom" w:date="2021-11-09T15:45:13Z">
        <w:r>
          <w:rPr>
            <w:vertAlign w:val="subscript"/>
          </w:rPr>
          <w:delText>OOB</w:delText>
        </w:r>
      </w:del>
      <w:del w:id="27" w:author="Yu SHI-China Unicom" w:date="2021-11-09T15:45:13Z">
        <w:r>
          <w:rPr/>
          <w:delText xml:space="preserve">, </w:delText>
        </w:r>
      </w:del>
      <w:del w:id="28" w:author="Yu SHI-China Unicom" w:date="2021-11-09T15:45:13Z">
        <w:r>
          <w:rPr>
            <w:snapToGrid w:val="0"/>
          </w:rPr>
          <w:delText>the spurious requirements in subclause 6.5.3 are applicable.</w:delText>
        </w:r>
      </w:del>
    </w:p>
    <w:p>
      <w:pPr>
        <w:pStyle w:val="56"/>
        <w:rPr>
          <w:del w:id="29" w:author="Yu SHI-China Unicom" w:date="2021-11-09T15:45:13Z"/>
        </w:rPr>
      </w:pPr>
      <w:del w:id="30" w:author="Yu SHI-China Unicom" w:date="2021-11-09T15:45:13Z">
        <w:r>
          <w:rPr/>
          <w:delText>NOTE:</w:delText>
        </w:r>
      </w:del>
      <w:del w:id="31" w:author="Yu SHI-China Unicom" w:date="2021-11-09T15:45:13Z">
        <w:r>
          <w:rPr/>
          <w:tab/>
        </w:r>
      </w:del>
      <w:del w:id="32" w:author="Yu SHI-China Unicom" w:date="2021-11-09T15:45:13Z">
        <w:r>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8"/>
      </w:pPr>
      <w:bookmarkStart w:id="149" w:name="_Toc60825474"/>
      <w:bookmarkStart w:id="150" w:name="_Toc52990353"/>
      <w:bookmarkStart w:id="151" w:name="_Toc27478162"/>
      <w:bookmarkStart w:id="152" w:name="_Toc36226874"/>
      <w:bookmarkStart w:id="153" w:name="_Toc44324159"/>
      <w:bookmarkStart w:id="154" w:name="_Toc60823552"/>
      <w:r>
        <w:t>6.5.2.2.1</w:t>
      </w:r>
      <w:r>
        <w:tab/>
      </w:r>
      <w:r>
        <w:t>Test purpose</w:t>
      </w:r>
      <w:bookmarkEnd w:id="149"/>
      <w:bookmarkEnd w:id="150"/>
      <w:bookmarkEnd w:id="151"/>
      <w:bookmarkEnd w:id="152"/>
      <w:bookmarkEnd w:id="153"/>
      <w:bookmarkEnd w:id="154"/>
    </w:p>
    <w:p>
      <w:pPr>
        <w:rPr>
          <w:lang w:eastAsia="ja-JP"/>
        </w:rPr>
      </w:pPr>
      <w:r>
        <w:rPr>
          <w:lang w:eastAsia="ja-JP"/>
        </w:rPr>
        <w:t>To verify that the power of any UE emission shall not exceed specified level for the specified channel bandwidth.</w:t>
      </w:r>
    </w:p>
    <w:p>
      <w:pPr>
        <w:pStyle w:val="8"/>
      </w:pPr>
      <w:bookmarkStart w:id="155" w:name="_Toc36226875"/>
      <w:bookmarkStart w:id="156" w:name="_Toc27478163"/>
      <w:bookmarkStart w:id="157" w:name="_Toc60825475"/>
      <w:bookmarkStart w:id="158" w:name="_Toc60823553"/>
      <w:bookmarkStart w:id="159" w:name="_Toc44324160"/>
      <w:bookmarkStart w:id="160" w:name="_Toc52990354"/>
      <w:r>
        <w:t>6.5.2.2.2</w:t>
      </w:r>
      <w:r>
        <w:tab/>
      </w:r>
      <w:r>
        <w:t>Test applicability</w:t>
      </w:r>
      <w:bookmarkEnd w:id="155"/>
      <w:bookmarkEnd w:id="156"/>
      <w:bookmarkEnd w:id="157"/>
      <w:bookmarkEnd w:id="158"/>
      <w:bookmarkEnd w:id="159"/>
      <w:bookmarkEnd w:id="160"/>
    </w:p>
    <w:p>
      <w:pPr>
        <w:rPr>
          <w:lang w:eastAsia="ja-JP"/>
        </w:rPr>
      </w:pPr>
      <w:r>
        <w:t>This test case applies to all types of NR UE release 15 and forward.</w:t>
      </w:r>
    </w:p>
    <w:p>
      <w:pPr>
        <w:pStyle w:val="8"/>
      </w:pPr>
      <w:bookmarkStart w:id="161" w:name="_Toc60825476"/>
      <w:bookmarkStart w:id="162" w:name="_Toc52990355"/>
      <w:bookmarkStart w:id="163" w:name="_Toc36226876"/>
      <w:bookmarkStart w:id="164" w:name="_Toc27478164"/>
      <w:bookmarkStart w:id="165" w:name="_Toc44324161"/>
      <w:bookmarkStart w:id="166" w:name="_Toc60823554"/>
      <w:r>
        <w:t>6.5.2.2.3</w:t>
      </w:r>
      <w:r>
        <w:tab/>
      </w:r>
      <w:r>
        <w:t>Minimum conformance requirements</w:t>
      </w:r>
      <w:bookmarkEnd w:id="161"/>
      <w:bookmarkEnd w:id="162"/>
      <w:bookmarkEnd w:id="163"/>
      <w:bookmarkEnd w:id="164"/>
      <w:bookmarkEnd w:id="165"/>
      <w:bookmarkEnd w:id="166"/>
    </w:p>
    <w:p>
      <w:pPr>
        <w:rPr>
          <w:ins w:id="33" w:author="Yu SHI-China Unicom" w:date="2021-11-09T15:45:17Z"/>
          <w:snapToGrid w:val="0"/>
        </w:rPr>
      </w:pPr>
      <w:ins w:id="34" w:author="Yu SHI-China Unicom" w:date="2021-11-09T15:45:17Z">
        <w:r>
          <w:rPr/>
          <w:t>The spectrum emission mask of the UE applies to frequencies (Δf</w:t>
        </w:r>
      </w:ins>
      <w:ins w:id="35" w:author="Yu SHI-China Unicom" w:date="2021-11-09T15:45:17Z">
        <w:r>
          <w:rPr>
            <w:vertAlign w:val="subscript"/>
          </w:rPr>
          <w:t>OOB</w:t>
        </w:r>
      </w:ins>
      <w:ins w:id="36" w:author="Yu SHI-China Unicom" w:date="2021-11-09T15:45:17Z">
        <w:r>
          <w:rPr>
            <w:snapToGrid w:val="0"/>
          </w:rPr>
          <w:t>)</w:t>
        </w:r>
      </w:ins>
      <w:ins w:id="37" w:author="Yu SHI-China Unicom" w:date="2021-11-09T15:45:17Z">
        <w:r>
          <w:rPr/>
          <w:t xml:space="preserve"> starting from the </w:t>
        </w:r>
      </w:ins>
      <w:ins w:id="38" w:author="Yu SHI-China Unicom" w:date="2021-11-09T15:45:17Z">
        <w:r>
          <w:rPr/>
          <w:sym w:font="Symbol" w:char="F0B1"/>
        </w:r>
      </w:ins>
      <w:ins w:id="39" w:author="Yu SHI-China Unicom" w:date="2021-11-09T15:45:17Z">
        <w:r>
          <w:rPr/>
          <w:t xml:space="preserve"> edge of the assigned NR channel bandwidth. For frequencies offset greater than Δf</w:t>
        </w:r>
      </w:ins>
      <w:ins w:id="40" w:author="Yu SHI-China Unicom" w:date="2021-11-09T15:45:17Z">
        <w:r>
          <w:rPr>
            <w:vertAlign w:val="subscript"/>
          </w:rPr>
          <w:t>OOB</w:t>
        </w:r>
      </w:ins>
      <w:ins w:id="41" w:author="Yu SHI-China Unicom" w:date="2021-11-09T15:45:17Z">
        <w:r>
          <w:rPr/>
          <w:t xml:space="preserve">, </w:t>
        </w:r>
      </w:ins>
      <w:ins w:id="42" w:author="Yu SHI-China Unicom" w:date="2021-11-09T15:45:17Z">
        <w:r>
          <w:rPr>
            <w:snapToGrid w:val="0"/>
          </w:rPr>
          <w:t>the spurious requirements in subclause 6.5.3 are applicable.</w:t>
        </w:r>
      </w:ins>
    </w:p>
    <w:p>
      <w:pPr>
        <w:pStyle w:val="56"/>
        <w:rPr>
          <w:ins w:id="43" w:author="Yu SHI-China Unicom" w:date="2021-11-09T15:45:17Z"/>
        </w:rPr>
      </w:pPr>
      <w:ins w:id="44" w:author="Yu SHI-China Unicom" w:date="2021-11-09T15:45:17Z">
        <w:r>
          <w:rPr/>
          <w:t>NOTE:</w:t>
        </w:r>
      </w:ins>
      <w:ins w:id="45" w:author="Yu SHI-China Unicom" w:date="2021-11-09T15:45:17Z">
        <w:r>
          <w:rPr/>
          <w:tab/>
        </w:r>
      </w:ins>
      <w:ins w:id="46" w:author="Yu SHI-China Unicom" w:date="2021-11-09T15:45:17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
        <w:t>The power of any UE emission shall not exceed the levels specified in Table 6.5.2.2.3-1 for the specified channel bandwidth.</w:t>
      </w:r>
    </w:p>
    <w:p>
      <w:pPr>
        <w:pStyle w:val="55"/>
      </w:pPr>
      <w:r>
        <w:t>Table 6.5.2.2.3-1: General NR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0" w:hRule="atLeast"/>
          <w:jc w:val="center"/>
        </w:trPr>
        <w:tc>
          <w:tcPr>
            <w:tcW w:w="10728" w:type="dxa"/>
            <w:gridSpan w:val="15"/>
            <w:tcMar>
              <w:top w:w="0" w:type="dxa"/>
              <w:left w:w="108" w:type="dxa"/>
              <w:bottom w:w="0" w:type="dxa"/>
              <w:right w:w="108" w:type="dxa"/>
            </w:tcMar>
            <w:vAlign w:val="center"/>
          </w:tcPr>
          <w:p>
            <w:pPr>
              <w:pStyle w:val="51"/>
              <w:rPr>
                <w:lang w:eastAsia="zh-CN"/>
              </w:rPr>
            </w:pPr>
            <w:r>
              <w:rPr>
                <w:lang w:eastAsia="zh-CN"/>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98" w:type="dxa"/>
            <w:tcMar>
              <w:top w:w="0" w:type="dxa"/>
              <w:left w:w="108" w:type="dxa"/>
              <w:bottom w:w="0" w:type="dxa"/>
              <w:right w:w="108" w:type="dxa"/>
            </w:tcMar>
          </w:tcPr>
          <w:p>
            <w:pPr>
              <w:pStyle w:val="51"/>
            </w:pPr>
            <w:r>
              <w:t>Δf</w:t>
            </w:r>
            <w:r>
              <w:rPr>
                <w:vertAlign w:val="subscript"/>
              </w:rPr>
              <w:t>OOB</w:t>
            </w:r>
          </w:p>
          <w:p>
            <w:pPr>
              <w:pStyle w:val="51"/>
            </w:pPr>
            <w:r>
              <w:t>(MHz)</w:t>
            </w:r>
          </w:p>
        </w:tc>
        <w:tc>
          <w:tcPr>
            <w:tcW w:w="630" w:type="dxa"/>
            <w:tcMar>
              <w:top w:w="0" w:type="dxa"/>
              <w:left w:w="108" w:type="dxa"/>
              <w:bottom w:w="0" w:type="dxa"/>
              <w:right w:w="108" w:type="dxa"/>
            </w:tcMar>
            <w:vAlign w:val="center"/>
          </w:tcPr>
          <w:p>
            <w:pPr>
              <w:pStyle w:val="51"/>
            </w:pPr>
            <w:r>
              <w:t>5</w:t>
            </w:r>
          </w:p>
          <w:p>
            <w:pPr>
              <w:pStyle w:val="51"/>
            </w:pPr>
            <w:r>
              <w:t>MHz</w:t>
            </w:r>
          </w:p>
        </w:tc>
        <w:tc>
          <w:tcPr>
            <w:tcW w:w="630" w:type="dxa"/>
            <w:tcMar>
              <w:top w:w="0" w:type="dxa"/>
              <w:left w:w="108" w:type="dxa"/>
              <w:bottom w:w="0" w:type="dxa"/>
              <w:right w:w="108" w:type="dxa"/>
            </w:tcMar>
            <w:vAlign w:val="center"/>
          </w:tcPr>
          <w:p>
            <w:pPr>
              <w:pStyle w:val="51"/>
            </w:pPr>
            <w:r>
              <w:t>10</w:t>
            </w:r>
          </w:p>
          <w:p>
            <w:pPr>
              <w:pStyle w:val="51"/>
            </w:pPr>
            <w:r>
              <w:t>MHz</w:t>
            </w:r>
          </w:p>
        </w:tc>
        <w:tc>
          <w:tcPr>
            <w:tcW w:w="630" w:type="dxa"/>
            <w:tcMar>
              <w:top w:w="0" w:type="dxa"/>
              <w:left w:w="108" w:type="dxa"/>
              <w:bottom w:w="0" w:type="dxa"/>
              <w:right w:w="108" w:type="dxa"/>
            </w:tcMar>
            <w:vAlign w:val="center"/>
          </w:tcPr>
          <w:p>
            <w:pPr>
              <w:pStyle w:val="51"/>
            </w:pPr>
            <w:r>
              <w:t>15</w:t>
            </w:r>
          </w:p>
          <w:p>
            <w:pPr>
              <w:pStyle w:val="51"/>
            </w:pPr>
            <w:r>
              <w:t>MHz</w:t>
            </w:r>
          </w:p>
        </w:tc>
        <w:tc>
          <w:tcPr>
            <w:tcW w:w="630" w:type="dxa"/>
            <w:tcMar>
              <w:top w:w="0" w:type="dxa"/>
              <w:left w:w="108" w:type="dxa"/>
              <w:bottom w:w="0" w:type="dxa"/>
              <w:right w:w="108" w:type="dxa"/>
            </w:tcMar>
            <w:vAlign w:val="center"/>
          </w:tcPr>
          <w:p>
            <w:pPr>
              <w:pStyle w:val="51"/>
            </w:pPr>
            <w:r>
              <w:t>20</w:t>
            </w:r>
          </w:p>
          <w:p>
            <w:pPr>
              <w:pStyle w:val="51"/>
            </w:pPr>
            <w:r>
              <w:t>MHz</w:t>
            </w:r>
          </w:p>
        </w:tc>
        <w:tc>
          <w:tcPr>
            <w:tcW w:w="630" w:type="dxa"/>
            <w:vAlign w:val="center"/>
          </w:tcPr>
          <w:p>
            <w:pPr>
              <w:pStyle w:val="51"/>
            </w:pPr>
            <w:r>
              <w:t>25</w:t>
            </w:r>
          </w:p>
          <w:p>
            <w:pPr>
              <w:pStyle w:val="51"/>
            </w:pPr>
            <w:r>
              <w:t>MHz</w:t>
            </w:r>
          </w:p>
        </w:tc>
        <w:tc>
          <w:tcPr>
            <w:tcW w:w="630" w:type="dxa"/>
            <w:vAlign w:val="center"/>
          </w:tcPr>
          <w:p>
            <w:pPr>
              <w:pStyle w:val="51"/>
            </w:pPr>
            <w:r>
              <w:t>30 MHz</w:t>
            </w:r>
          </w:p>
        </w:tc>
        <w:tc>
          <w:tcPr>
            <w:tcW w:w="630" w:type="dxa"/>
            <w:vAlign w:val="center"/>
          </w:tcPr>
          <w:p>
            <w:pPr>
              <w:pStyle w:val="51"/>
            </w:pPr>
            <w:r>
              <w:t>40</w:t>
            </w:r>
          </w:p>
          <w:p>
            <w:pPr>
              <w:pStyle w:val="51"/>
            </w:pPr>
            <w:r>
              <w:t>MHz</w:t>
            </w:r>
          </w:p>
        </w:tc>
        <w:tc>
          <w:tcPr>
            <w:tcW w:w="630" w:type="dxa"/>
            <w:tcMar>
              <w:top w:w="0" w:type="dxa"/>
              <w:left w:w="108" w:type="dxa"/>
              <w:bottom w:w="0" w:type="dxa"/>
              <w:right w:w="108" w:type="dxa"/>
            </w:tcMar>
            <w:vAlign w:val="center"/>
          </w:tcPr>
          <w:p>
            <w:pPr>
              <w:pStyle w:val="51"/>
            </w:pPr>
            <w:r>
              <w:t>50</w:t>
            </w:r>
          </w:p>
          <w:p>
            <w:pPr>
              <w:pStyle w:val="51"/>
            </w:pPr>
            <w:r>
              <w:t>MHz</w:t>
            </w:r>
          </w:p>
        </w:tc>
        <w:tc>
          <w:tcPr>
            <w:tcW w:w="630" w:type="dxa"/>
            <w:vAlign w:val="center"/>
          </w:tcPr>
          <w:p>
            <w:pPr>
              <w:pStyle w:val="51"/>
            </w:pPr>
            <w:r>
              <w:t>60</w:t>
            </w:r>
          </w:p>
          <w:p>
            <w:pPr>
              <w:pStyle w:val="51"/>
            </w:pPr>
            <w:r>
              <w:t>MHz</w:t>
            </w:r>
          </w:p>
        </w:tc>
        <w:tc>
          <w:tcPr>
            <w:tcW w:w="630" w:type="dxa"/>
          </w:tcPr>
          <w:p>
            <w:pPr>
              <w:pStyle w:val="51"/>
              <w:rPr>
                <w:lang w:eastAsia="zh-CN"/>
              </w:rPr>
            </w:pPr>
            <w:r>
              <w:rPr>
                <w:lang w:eastAsia="zh-CN"/>
              </w:rPr>
              <w:t>70</w:t>
            </w:r>
          </w:p>
          <w:p>
            <w:pPr>
              <w:pStyle w:val="51"/>
              <w:rPr>
                <w:lang w:eastAsia="zh-CN"/>
              </w:rPr>
            </w:pPr>
            <w:r>
              <w:rPr>
                <w:lang w:eastAsia="zh-CN"/>
              </w:rPr>
              <w:t>MHz</w:t>
            </w:r>
          </w:p>
        </w:tc>
        <w:tc>
          <w:tcPr>
            <w:tcW w:w="630" w:type="dxa"/>
            <w:vAlign w:val="center"/>
          </w:tcPr>
          <w:p>
            <w:pPr>
              <w:pStyle w:val="51"/>
            </w:pPr>
            <w:r>
              <w:t>80</w:t>
            </w:r>
          </w:p>
          <w:p>
            <w:pPr>
              <w:pStyle w:val="51"/>
            </w:pPr>
            <w:r>
              <w:t>MHz</w:t>
            </w:r>
          </w:p>
        </w:tc>
        <w:tc>
          <w:tcPr>
            <w:tcW w:w="630" w:type="dxa"/>
          </w:tcPr>
          <w:p>
            <w:pPr>
              <w:pStyle w:val="51"/>
            </w:pPr>
            <w:r>
              <w:t>90</w:t>
            </w:r>
          </w:p>
          <w:p>
            <w:pPr>
              <w:pStyle w:val="51"/>
            </w:pPr>
            <w:r>
              <w:t>MHz</w:t>
            </w:r>
          </w:p>
        </w:tc>
        <w:tc>
          <w:tcPr>
            <w:tcW w:w="630" w:type="dxa"/>
            <w:tcMar>
              <w:top w:w="0" w:type="dxa"/>
              <w:left w:w="108" w:type="dxa"/>
              <w:bottom w:w="0" w:type="dxa"/>
              <w:right w:w="108" w:type="dxa"/>
            </w:tcMar>
            <w:vAlign w:val="center"/>
          </w:tcPr>
          <w:p>
            <w:pPr>
              <w:pStyle w:val="51"/>
            </w:pPr>
            <w:r>
              <w:t>100</w:t>
            </w:r>
          </w:p>
          <w:p>
            <w:pPr>
              <w:pStyle w:val="51"/>
            </w:pPr>
            <w:r>
              <w:t>MHz</w:t>
            </w:r>
          </w:p>
        </w:tc>
        <w:tc>
          <w:tcPr>
            <w:tcW w:w="1440" w:type="dxa"/>
            <w:tcMar>
              <w:top w:w="0" w:type="dxa"/>
              <w:left w:w="108" w:type="dxa"/>
              <w:bottom w:w="0" w:type="dxa"/>
              <w:right w:w="108" w:type="dxa"/>
            </w:tcMa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vAlign w:val="center"/>
          </w:tcPr>
          <w:p>
            <w:pPr>
              <w:pStyle w:val="52"/>
            </w:pPr>
            <w:r>
              <w:t>± 0-1</w:t>
            </w:r>
          </w:p>
        </w:tc>
        <w:tc>
          <w:tcPr>
            <w:tcW w:w="630" w:type="dxa"/>
            <w:tcMar>
              <w:top w:w="0" w:type="dxa"/>
              <w:left w:w="108" w:type="dxa"/>
              <w:bottom w:w="0" w:type="dxa"/>
              <w:right w:w="108" w:type="dxa"/>
            </w:tcMar>
            <w:vAlign w:val="center"/>
          </w:tcPr>
          <w:p>
            <w:pPr>
              <w:pStyle w:val="52"/>
            </w:pPr>
            <w:r>
              <w:t>-13</w:t>
            </w:r>
          </w:p>
        </w:tc>
        <w:tc>
          <w:tcPr>
            <w:tcW w:w="630" w:type="dxa"/>
            <w:tcMar>
              <w:top w:w="0" w:type="dxa"/>
              <w:left w:w="108" w:type="dxa"/>
              <w:bottom w:w="0" w:type="dxa"/>
              <w:right w:w="108" w:type="dxa"/>
            </w:tcMar>
            <w:vAlign w:val="center"/>
          </w:tcPr>
          <w:p>
            <w:pPr>
              <w:pStyle w:val="52"/>
            </w:pPr>
            <w:r>
              <w:t>-13</w:t>
            </w:r>
          </w:p>
        </w:tc>
        <w:tc>
          <w:tcPr>
            <w:tcW w:w="630" w:type="dxa"/>
            <w:tcMar>
              <w:top w:w="0" w:type="dxa"/>
              <w:left w:w="108" w:type="dxa"/>
              <w:bottom w:w="0" w:type="dxa"/>
              <w:right w:w="108" w:type="dxa"/>
            </w:tcMar>
            <w:vAlign w:val="center"/>
          </w:tcPr>
          <w:p>
            <w:pPr>
              <w:pStyle w:val="52"/>
            </w:pPr>
            <w:r>
              <w:t>-13</w:t>
            </w:r>
          </w:p>
        </w:tc>
        <w:tc>
          <w:tcPr>
            <w:tcW w:w="630" w:type="dxa"/>
            <w:tcMar>
              <w:top w:w="0" w:type="dxa"/>
              <w:left w:w="108" w:type="dxa"/>
              <w:bottom w:w="0" w:type="dxa"/>
              <w:right w:w="108" w:type="dxa"/>
            </w:tcMar>
            <w:vAlign w:val="center"/>
          </w:tcPr>
          <w:p>
            <w:pPr>
              <w:pStyle w:val="52"/>
            </w:pPr>
            <w:r>
              <w:t>-13</w:t>
            </w:r>
          </w:p>
        </w:tc>
        <w:tc>
          <w:tcPr>
            <w:tcW w:w="630" w:type="dxa"/>
            <w:vAlign w:val="center"/>
          </w:tcPr>
          <w:p>
            <w:pPr>
              <w:pStyle w:val="52"/>
            </w:pPr>
            <w:r>
              <w:t>-13</w:t>
            </w:r>
          </w:p>
        </w:tc>
        <w:tc>
          <w:tcPr>
            <w:tcW w:w="630" w:type="dxa"/>
            <w:vAlign w:val="center"/>
          </w:tcPr>
          <w:p>
            <w:pPr>
              <w:pStyle w:val="52"/>
            </w:pPr>
            <w:r>
              <w:t>-13</w:t>
            </w:r>
          </w:p>
        </w:tc>
        <w:tc>
          <w:tcPr>
            <w:tcW w:w="630" w:type="dxa"/>
            <w:vAlign w:val="center"/>
          </w:tcPr>
          <w:p>
            <w:pPr>
              <w:pStyle w:val="52"/>
            </w:pPr>
            <w:r>
              <w:t>-13</w:t>
            </w: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p>
        </w:tc>
        <w:tc>
          <w:tcPr>
            <w:tcW w:w="1440" w:type="dxa"/>
            <w:tcMar>
              <w:top w:w="0" w:type="dxa"/>
              <w:left w:w="108" w:type="dxa"/>
              <w:bottom w:w="0" w:type="dxa"/>
              <w:right w:w="108" w:type="dxa"/>
            </w:tcMar>
          </w:tcPr>
          <w:p>
            <w:pPr>
              <w:pStyle w:val="52"/>
            </w:pPr>
            <w: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0-1</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-24</w:t>
            </w:r>
          </w:p>
        </w:tc>
        <w:tc>
          <w:tcPr>
            <w:tcW w:w="630" w:type="dxa"/>
            <w:vAlign w:val="center"/>
          </w:tcPr>
          <w:p>
            <w:pPr>
              <w:pStyle w:val="52"/>
            </w:pPr>
            <w:r>
              <w:t>-24</w:t>
            </w:r>
          </w:p>
        </w:tc>
        <w:tc>
          <w:tcPr>
            <w:tcW w:w="630" w:type="dxa"/>
          </w:tcPr>
          <w:p>
            <w:pPr>
              <w:pStyle w:val="52"/>
              <w:rPr>
                <w:lang w:eastAsia="zh-CN"/>
              </w:rPr>
            </w:pPr>
            <w:r>
              <w:rPr>
                <w:lang w:eastAsia="zh-CN"/>
              </w:rPr>
              <w:t>-24</w:t>
            </w:r>
          </w:p>
        </w:tc>
        <w:tc>
          <w:tcPr>
            <w:tcW w:w="630" w:type="dxa"/>
            <w:vAlign w:val="center"/>
          </w:tcPr>
          <w:p>
            <w:pPr>
              <w:pStyle w:val="52"/>
            </w:pPr>
            <w:r>
              <w:t>-24</w:t>
            </w:r>
          </w:p>
        </w:tc>
        <w:tc>
          <w:tcPr>
            <w:tcW w:w="630" w:type="dxa"/>
          </w:tcPr>
          <w:p>
            <w:pPr>
              <w:pStyle w:val="52"/>
            </w:pPr>
            <w:r>
              <w:t>-24</w:t>
            </w:r>
          </w:p>
        </w:tc>
        <w:tc>
          <w:tcPr>
            <w:tcW w:w="630" w:type="dxa"/>
            <w:tcMar>
              <w:top w:w="0" w:type="dxa"/>
              <w:left w:w="108" w:type="dxa"/>
              <w:bottom w:w="0" w:type="dxa"/>
              <w:right w:w="108" w:type="dxa"/>
            </w:tcMar>
            <w:vAlign w:val="center"/>
          </w:tcPr>
          <w:p>
            <w:pPr>
              <w:pStyle w:val="52"/>
            </w:pPr>
            <w:r>
              <w:t>-24</w:t>
            </w:r>
          </w:p>
        </w:tc>
        <w:tc>
          <w:tcPr>
            <w:tcW w:w="1440" w:type="dxa"/>
            <w:tcMar>
              <w:top w:w="0" w:type="dxa"/>
              <w:left w:w="108" w:type="dxa"/>
              <w:bottom w:w="0" w:type="dxa"/>
              <w:right w:w="108" w:type="dxa"/>
            </w:tcMar>
          </w:tcPr>
          <w:p>
            <w:pPr>
              <w:pStyle w:val="52"/>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w:t>
            </w:r>
          </w:p>
        </w:tc>
        <w:tc>
          <w:tcPr>
            <w:tcW w:w="630" w:type="dxa"/>
            <w:tcMar>
              <w:top w:w="0" w:type="dxa"/>
              <w:left w:w="108" w:type="dxa"/>
              <w:bottom w:w="0" w:type="dxa"/>
              <w:right w:w="108" w:type="dxa"/>
            </w:tcMar>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vAlign w:val="center"/>
          </w:tcPr>
          <w:p>
            <w:pPr>
              <w:pStyle w:val="52"/>
            </w:pPr>
            <w:r>
              <w:t>-10</w:t>
            </w:r>
          </w:p>
        </w:tc>
        <w:tc>
          <w:tcPr>
            <w:tcW w:w="630" w:type="dxa"/>
          </w:tcPr>
          <w:p>
            <w:pPr>
              <w:pStyle w:val="52"/>
            </w:pPr>
            <w:r>
              <w:t>-10</w:t>
            </w:r>
          </w:p>
        </w:tc>
        <w:tc>
          <w:tcPr>
            <w:tcW w:w="630" w:type="dxa"/>
            <w:vAlign w:val="center"/>
          </w:tcPr>
          <w:p>
            <w:pPr>
              <w:pStyle w:val="52"/>
            </w:pPr>
            <w:r>
              <w:t>-10</w:t>
            </w:r>
          </w:p>
        </w:tc>
        <w:tc>
          <w:tcPr>
            <w:tcW w:w="630" w:type="dxa"/>
            <w:tcMar>
              <w:top w:w="0" w:type="dxa"/>
              <w:left w:w="108" w:type="dxa"/>
              <w:bottom w:w="0" w:type="dxa"/>
              <w:right w:w="108" w:type="dxa"/>
            </w:tcMar>
            <w:vAlign w:val="center"/>
          </w:tcPr>
          <w:p>
            <w:pPr>
              <w:pStyle w:val="52"/>
            </w:pPr>
            <w:r>
              <w:t>-10</w:t>
            </w:r>
          </w:p>
        </w:tc>
        <w:tc>
          <w:tcPr>
            <w:tcW w:w="630" w:type="dxa"/>
            <w:vAlign w:val="center"/>
          </w:tcPr>
          <w:p>
            <w:pPr>
              <w:pStyle w:val="52"/>
            </w:pPr>
            <w:r>
              <w:t>-10</w:t>
            </w:r>
          </w:p>
        </w:tc>
        <w:tc>
          <w:tcPr>
            <w:tcW w:w="630" w:type="dxa"/>
            <w:tcBorders>
              <w:bottom w:val="single" w:color="auto" w:sz="4" w:space="0"/>
            </w:tcBorders>
          </w:tcPr>
          <w:p>
            <w:pPr>
              <w:pStyle w:val="52"/>
              <w:rPr>
                <w:lang w:eastAsia="zh-CN"/>
              </w:rPr>
            </w:pPr>
            <w:r>
              <w:rPr>
                <w:lang w:eastAsia="zh-CN"/>
              </w:rPr>
              <w:t>-10</w:t>
            </w:r>
          </w:p>
        </w:tc>
        <w:tc>
          <w:tcPr>
            <w:tcW w:w="630" w:type="dxa"/>
            <w:vAlign w:val="center"/>
          </w:tcPr>
          <w:p>
            <w:pPr>
              <w:pStyle w:val="52"/>
            </w:pPr>
            <w:r>
              <w:t>-10</w:t>
            </w:r>
          </w:p>
        </w:tc>
        <w:tc>
          <w:tcPr>
            <w:tcW w:w="630" w:type="dxa"/>
          </w:tcPr>
          <w:p>
            <w:pPr>
              <w:pStyle w:val="52"/>
            </w:pPr>
            <w:r>
              <w:t>-10</w:t>
            </w:r>
          </w:p>
        </w:tc>
        <w:tc>
          <w:tcPr>
            <w:tcW w:w="630" w:type="dxa"/>
            <w:tcMar>
              <w:top w:w="0" w:type="dxa"/>
              <w:left w:w="108" w:type="dxa"/>
              <w:bottom w:w="0" w:type="dxa"/>
              <w:right w:w="108" w:type="dxa"/>
            </w:tcMar>
            <w:vAlign w:val="center"/>
          </w:tcPr>
          <w:p>
            <w:pPr>
              <w:pStyle w:val="52"/>
            </w:pPr>
            <w:r>
              <w:t>-10</w:t>
            </w:r>
          </w:p>
        </w:tc>
        <w:tc>
          <w:tcPr>
            <w:tcW w:w="1440" w:type="dxa"/>
            <w:vMerge w:val="restart"/>
            <w:tcMar>
              <w:top w:w="0" w:type="dxa"/>
              <w:left w:w="108" w:type="dxa"/>
              <w:bottom w:w="0" w:type="dxa"/>
              <w:right w:w="108" w:type="dxa"/>
            </w:tcMar>
            <w:vAlign w:val="center"/>
          </w:tcPr>
          <w:p>
            <w:pPr>
              <w:pStyle w:val="52"/>
              <w:rPr>
                <w:rFonts w:eastAsia="Yu Mincho"/>
              </w:rPr>
            </w:pPr>
            <w:r>
              <w:rPr>
                <w:rFonts w:eastAsia="Yu Minch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5-6</w:t>
            </w:r>
          </w:p>
        </w:tc>
        <w:tc>
          <w:tcPr>
            <w:tcW w:w="630" w:type="dxa"/>
            <w:tcMar>
              <w:top w:w="0" w:type="dxa"/>
              <w:left w:w="108" w:type="dxa"/>
              <w:bottom w:w="0" w:type="dxa"/>
              <w:right w:w="108" w:type="dxa"/>
            </w:tcMar>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vAlign w:val="center"/>
          </w:tcPr>
          <w:p>
            <w:pPr>
              <w:pStyle w:val="52"/>
            </w:pPr>
            <w:r>
              <w:t>-13</w:t>
            </w:r>
          </w:p>
        </w:tc>
        <w:tc>
          <w:tcPr>
            <w:tcW w:w="630" w:type="dxa"/>
            <w:vMerge w:val="restart"/>
            <w:vAlign w:val="center"/>
          </w:tcPr>
          <w:p>
            <w:pPr>
              <w:pStyle w:val="52"/>
            </w:pPr>
            <w:r>
              <w:t>-13</w:t>
            </w:r>
          </w:p>
        </w:tc>
        <w:tc>
          <w:tcPr>
            <w:tcW w:w="630" w:type="dxa"/>
            <w:vMerge w:val="restart"/>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630" w:type="dxa"/>
            <w:vMerge w:val="restart"/>
            <w:vAlign w:val="center"/>
          </w:tcPr>
          <w:p>
            <w:pPr>
              <w:pStyle w:val="52"/>
            </w:pPr>
            <w:r>
              <w:t>-13</w:t>
            </w:r>
          </w:p>
        </w:tc>
        <w:tc>
          <w:tcPr>
            <w:tcW w:w="630" w:type="dxa"/>
            <w:vMerge w:val="restart"/>
            <w:vAlign w:val="center"/>
          </w:tcPr>
          <w:p>
            <w:pPr>
              <w:pStyle w:val="52"/>
              <w:rPr>
                <w:lang w:eastAsia="zh-CN"/>
              </w:rPr>
            </w:pPr>
            <w:r>
              <w:rPr>
                <w:lang w:eastAsia="zh-CN"/>
              </w:rPr>
              <w:t>-13</w:t>
            </w:r>
          </w:p>
        </w:tc>
        <w:tc>
          <w:tcPr>
            <w:tcW w:w="630" w:type="dxa"/>
            <w:vMerge w:val="restart"/>
            <w:vAlign w:val="center"/>
          </w:tcPr>
          <w:p>
            <w:pPr>
              <w:pStyle w:val="52"/>
            </w:pPr>
            <w:r>
              <w:t>-13</w:t>
            </w:r>
          </w:p>
        </w:tc>
        <w:tc>
          <w:tcPr>
            <w:tcW w:w="630" w:type="dxa"/>
            <w:vMerge w:val="restart"/>
            <w:vAlign w:val="center"/>
          </w:tcPr>
          <w:p>
            <w:pPr>
              <w:pStyle w:val="52"/>
            </w:pPr>
            <w:r>
              <w:t>-13</w:t>
            </w:r>
          </w:p>
        </w:tc>
        <w:tc>
          <w:tcPr>
            <w:tcW w:w="630" w:type="dxa"/>
            <w:vMerge w:val="restart"/>
            <w:tcMar>
              <w:top w:w="0" w:type="dxa"/>
              <w:left w:w="108" w:type="dxa"/>
              <w:bottom w:w="0" w:type="dxa"/>
              <w:right w:w="108" w:type="dxa"/>
            </w:tcMar>
            <w:vAlign w:val="center"/>
          </w:tcPr>
          <w:p>
            <w:pPr>
              <w:pStyle w:val="52"/>
            </w:pPr>
            <w:r>
              <w:t>-13</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6-10</w:t>
            </w:r>
          </w:p>
        </w:tc>
        <w:tc>
          <w:tcPr>
            <w:tcW w:w="630" w:type="dxa"/>
            <w:tcMar>
              <w:top w:w="0" w:type="dxa"/>
              <w:left w:w="108" w:type="dxa"/>
              <w:bottom w:w="0" w:type="dxa"/>
              <w:right w:w="108" w:type="dxa"/>
            </w:tcMar>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10-15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15-20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20-25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25-30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w:t>
            </w: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30-35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w:t>
            </w: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35-40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40-45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45-50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50-55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-25</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55-60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60-65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w:t>
            </w: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65-70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70-75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rPr>
                <w:lang w:eastAsia="zh-CN"/>
              </w:rPr>
            </w:pPr>
            <w:r>
              <w:rPr>
                <w:lang w:eastAsia="zh-CN"/>
              </w:rPr>
              <w:t>-25</w:t>
            </w: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75-80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80-85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w:t>
            </w: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85-90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90-95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r>
              <w:t>-25</w:t>
            </w: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95-100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100-105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r>
              <w:t>-25</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bl>
    <w:p/>
    <w:p>
      <w:bookmarkStart w:id="167" w:name="_Hlk523351692"/>
      <w:r>
        <w:t>The normative reference for this requirement is TS 38.101-1 [2] clause 6.5.2.2</w:t>
      </w:r>
    </w:p>
    <w:p>
      <w:pPr>
        <w:pStyle w:val="8"/>
      </w:pPr>
      <w:bookmarkStart w:id="168" w:name="_Toc60825477"/>
      <w:bookmarkStart w:id="169" w:name="_Toc27478165"/>
      <w:bookmarkStart w:id="170" w:name="_Toc36226877"/>
      <w:bookmarkStart w:id="171" w:name="_Toc44324162"/>
      <w:bookmarkStart w:id="172" w:name="_Toc60823555"/>
      <w:bookmarkStart w:id="173" w:name="_Toc52990356"/>
      <w:r>
        <w:t>6.5.2.2.4</w:t>
      </w:r>
      <w:r>
        <w:tab/>
      </w:r>
      <w:r>
        <w:t>Test description</w:t>
      </w:r>
      <w:bookmarkEnd w:id="168"/>
      <w:bookmarkEnd w:id="169"/>
      <w:bookmarkEnd w:id="170"/>
      <w:bookmarkEnd w:id="171"/>
      <w:bookmarkEnd w:id="172"/>
      <w:bookmarkEnd w:id="173"/>
    </w:p>
    <w:p>
      <w:pPr>
        <w:pStyle w:val="8"/>
      </w:pPr>
      <w:r>
        <w:t>6.5.2.2.4.1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rPr>
          <w:lang w:eastAsia="zh-CN"/>
        </w:rPr>
        <w:t>5.3.5-1</w:t>
      </w:r>
      <w:r>
        <w:rPr>
          <w:lang w:eastAsia="ja-JP"/>
        </w:rPr>
        <w:t>. All of these configurations shall be tested with applicable test parameters for each combination of channel bandwidth and sub-carrier spacing, are shown in table 6.5.2.2.4.1-1, 6.5.2.2.4.1-2,</w:t>
      </w:r>
      <w:del w:id="47" w:author="Yu SHI-China Unicom" w:date="2021-11-09T15:46:35Z">
        <w:r>
          <w:rPr>
            <w:lang w:eastAsia="ja-JP"/>
          </w:rPr>
          <w:delText xml:space="preserve"> </w:delText>
        </w:r>
      </w:del>
      <w:del w:id="48" w:author="Yu SHI-China Unicom" w:date="2021-11-09T15:46:34Z">
        <w:r>
          <w:rPr>
            <w:lang w:eastAsia="ja-JP"/>
          </w:rPr>
          <w:delText>and</w:delText>
        </w:r>
      </w:del>
      <w:r>
        <w:rPr>
          <w:lang w:eastAsia="ja-JP"/>
        </w:rPr>
        <w:t xml:space="preserve"> 6.5.2.2.4.1-2a</w:t>
      </w:r>
      <w:ins w:id="49" w:author="Yu SHI-China Unicom" w:date="2021-11-09T15:46:38Z">
        <w:r>
          <w:rPr>
            <w:lang w:eastAsia="ja-JP"/>
          </w:rPr>
          <w:t xml:space="preserve"> a</w:t>
        </w:r>
      </w:ins>
      <w:ins w:id="50" w:author="Yu SHI-China Unicom" w:date="2021-11-09T15:46:39Z">
        <w:r>
          <w:rPr>
            <w:lang w:eastAsia="ja-JP"/>
          </w:rPr>
          <w:t xml:space="preserve">nd </w:t>
        </w:r>
      </w:ins>
      <w:ins w:id="51" w:author="Yu SHI-China Unicom" w:date="2021-11-09T15:46:43Z">
        <w:r>
          <w:rPr>
            <w:rFonts w:hint="eastAsia"/>
            <w:lang w:eastAsia="ja-JP"/>
          </w:rPr>
          <w:t>Table 6.5.2.2.4.1-3</w:t>
        </w:r>
      </w:ins>
      <w:r>
        <w:rPr>
          <w:lang w:eastAsia="ja-JP"/>
        </w:rPr>
        <w:t xml:space="preserve">. The details of the uplink reference measurement channels (RMCs) are specified in Annexes A.2. </w:t>
      </w:r>
      <w:bookmarkEnd w:id="167"/>
      <w:r>
        <w:rPr>
          <w:lang w:eastAsia="ja-JP"/>
        </w:rPr>
        <w:t xml:space="preserve">Configurations of PDSCH and PDCCH before measurement are specified in Annex C.2 </w:t>
      </w:r>
    </w:p>
    <w:p>
      <w:pPr>
        <w:pStyle w:val="55"/>
        <w:rPr>
          <w:lang w:eastAsia="zh-CN"/>
        </w:rPr>
      </w:pPr>
      <w:r>
        <w:t>Table 6.5.2.2.4.1-1: Test Configuration T</w:t>
      </w:r>
      <w:r>
        <w:rPr>
          <w:lang w:eastAsia="zh-CN"/>
        </w:rPr>
        <w:t xml:space="preserve">able for </w:t>
      </w:r>
      <w:r>
        <w:t xml:space="preserve">power class 3 </w:t>
      </w:r>
      <w:r>
        <w:rPr>
          <w:lang w:eastAsia="zh-CN"/>
        </w:rPr>
        <w:t>(</w:t>
      </w:r>
      <w:r>
        <w:t>contiguous allocation</w:t>
      </w:r>
      <w:r>
        <w:rPr>
          <w:lang w:eastAsia="zh-CN"/>
        </w:rPr>
        <w:t>)</w:t>
      </w:r>
    </w:p>
    <w:tbl>
      <w:tblPr>
        <w:tblStyle w:val="47"/>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8"/>
        <w:gridCol w:w="769"/>
        <w:gridCol w:w="18"/>
        <w:gridCol w:w="769"/>
        <w:gridCol w:w="18"/>
        <w:gridCol w:w="769"/>
        <w:gridCol w:w="18"/>
        <w:gridCol w:w="1396"/>
        <w:gridCol w:w="45"/>
        <w:gridCol w:w="8"/>
        <w:gridCol w:w="1618"/>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Test Environment as specified in TS 38.508-1 [5] subclause 4.1</w:t>
            </w:r>
          </w:p>
        </w:tc>
        <w:tc>
          <w:tcPr>
            <w:tcW w:w="2298" w:type="pct"/>
            <w:gridSpan w:val="4"/>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Test Frequencies as specified in TS 38.508-1 [5] subclause 4.3.1</w:t>
            </w:r>
          </w:p>
        </w:tc>
        <w:tc>
          <w:tcPr>
            <w:tcW w:w="2298" w:type="pct"/>
            <w:gridSpan w:val="4"/>
          </w:tcPr>
          <w:p>
            <w:pPr>
              <w:pStyle w:val="53"/>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Test Channel Bandwidths as specified in TS 38.508-1 [5] subclause 4.3.1</w:t>
            </w:r>
          </w:p>
        </w:tc>
        <w:tc>
          <w:tcPr>
            <w:tcW w:w="2298" w:type="pct"/>
            <w:gridSpan w:val="4"/>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pPr>
            <w:r>
              <w:t xml:space="preserve">Test SCS as specified in Table 5.3.5-1 </w:t>
            </w:r>
          </w:p>
        </w:tc>
        <w:tc>
          <w:tcPr>
            <w:tcW w:w="2298" w:type="pct"/>
            <w:gridSpan w:val="4"/>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1"/>
              <w:rPr>
                <w:lang w:eastAsia="zh-CN"/>
              </w:rPr>
            </w:pPr>
            <w:r>
              <w:rPr>
                <w:lang w:eastAsia="zh-CN"/>
              </w:rPr>
              <w:t>Test ID</w:t>
            </w:r>
          </w:p>
        </w:tc>
        <w:tc>
          <w:tcPr>
            <w:tcW w:w="484" w:type="pct"/>
            <w:gridSpan w:val="2"/>
          </w:tcPr>
          <w:p>
            <w:pPr>
              <w:pStyle w:val="51"/>
            </w:pPr>
            <w:r>
              <w:t>Freq</w:t>
            </w:r>
          </w:p>
        </w:tc>
        <w:tc>
          <w:tcPr>
            <w:tcW w:w="484" w:type="pct"/>
            <w:gridSpan w:val="2"/>
            <w:tcBorders>
              <w:bottom w:val="single" w:color="auto" w:sz="4" w:space="0"/>
            </w:tcBorders>
          </w:tcPr>
          <w:p>
            <w:pPr>
              <w:pStyle w:val="51"/>
            </w:pPr>
            <w:r>
              <w:t>ChBw</w:t>
            </w:r>
          </w:p>
        </w:tc>
        <w:tc>
          <w:tcPr>
            <w:tcW w:w="484" w:type="pct"/>
            <w:gridSpan w:val="2"/>
            <w:tcBorders>
              <w:bottom w:val="single" w:color="auto" w:sz="4" w:space="0"/>
            </w:tcBorders>
          </w:tcPr>
          <w:p>
            <w:pPr>
              <w:pStyle w:val="51"/>
            </w:pPr>
            <w:r>
              <w:t>SCS</w:t>
            </w:r>
          </w:p>
        </w:tc>
        <w:tc>
          <w:tcPr>
            <w:tcW w:w="898" w:type="pct"/>
            <w:gridSpan w:val="3"/>
            <w:shd w:val="clear" w:color="auto" w:fill="auto"/>
          </w:tcPr>
          <w:p>
            <w:pPr>
              <w:pStyle w:val="51"/>
            </w:pPr>
            <w:r>
              <w:t>Downlink Configuration</w:t>
            </w:r>
          </w:p>
        </w:tc>
        <w:tc>
          <w:tcPr>
            <w:tcW w:w="2270" w:type="pct"/>
            <w:gridSpan w:val="3"/>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1"/>
              <w:rPr>
                <w:lang w:eastAsia="zh-CN"/>
              </w:rPr>
            </w:pPr>
          </w:p>
        </w:tc>
        <w:tc>
          <w:tcPr>
            <w:tcW w:w="484" w:type="pct"/>
            <w:gridSpan w:val="2"/>
          </w:tcPr>
          <w:p>
            <w:pPr>
              <w:pStyle w:val="52"/>
            </w:pPr>
          </w:p>
        </w:tc>
        <w:tc>
          <w:tcPr>
            <w:tcW w:w="484" w:type="pct"/>
            <w:gridSpan w:val="2"/>
            <w:tcBorders>
              <w:bottom w:val="nil"/>
            </w:tcBorders>
          </w:tcPr>
          <w:p>
            <w:pPr>
              <w:pStyle w:val="52"/>
            </w:pPr>
            <w:r>
              <w:t>Default</w:t>
            </w:r>
          </w:p>
        </w:tc>
        <w:tc>
          <w:tcPr>
            <w:tcW w:w="484" w:type="pct"/>
            <w:gridSpan w:val="2"/>
            <w:tcBorders>
              <w:bottom w:val="nil"/>
            </w:tcBorders>
          </w:tcPr>
          <w:p>
            <w:pPr>
              <w:pStyle w:val="52"/>
            </w:pPr>
            <w:r>
              <w:t>Default</w:t>
            </w:r>
          </w:p>
        </w:tc>
        <w:tc>
          <w:tcPr>
            <w:tcW w:w="898" w:type="pct"/>
            <w:gridSpan w:val="3"/>
            <w:vMerge w:val="restart"/>
            <w:shd w:val="clear" w:color="auto" w:fill="auto"/>
          </w:tcPr>
          <w:p>
            <w:pPr>
              <w:pStyle w:val="52"/>
            </w:pPr>
            <w:r>
              <w:t>N/A for Spectrum Emission Mask test case</w:t>
            </w:r>
          </w:p>
        </w:tc>
        <w:tc>
          <w:tcPr>
            <w:tcW w:w="1000" w:type="pct"/>
            <w:gridSpan w:val="2"/>
          </w:tcPr>
          <w:p>
            <w:pPr>
              <w:pStyle w:val="51"/>
              <w:rPr>
                <w:lang w:eastAsia="zh-CN"/>
              </w:rPr>
            </w:pPr>
            <w:r>
              <w:rPr>
                <w:lang w:eastAsia="zh-CN"/>
              </w:rPr>
              <w:t>Modulation (NOTE 2)</w:t>
            </w:r>
          </w:p>
        </w:tc>
        <w:tc>
          <w:tcPr>
            <w:tcW w:w="1270"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t>1</w:t>
            </w:r>
            <w:r>
              <w:rPr>
                <w:vertAlign w:val="superscript"/>
              </w:rPr>
              <w:t>3</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PI/2 BPSK</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bookmarkStart w:id="174" w:name="_Hlk507167277"/>
            <w:r>
              <w:t>2</w:t>
            </w:r>
            <w:r>
              <w:rPr>
                <w:vertAlign w:val="superscript"/>
              </w:rPr>
              <w:t>3</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PI/2 BPSK</w:t>
            </w:r>
          </w:p>
        </w:tc>
        <w:tc>
          <w:tcPr>
            <w:tcW w:w="1270" w:type="pct"/>
            <w:shd w:val="clear" w:color="auto" w:fill="auto"/>
          </w:tcPr>
          <w:p>
            <w:pPr>
              <w:pStyle w:val="52"/>
            </w:pPr>
            <w:r>
              <w:t>Edge_1RB_Right</w:t>
            </w:r>
          </w:p>
        </w:tc>
      </w:tr>
      <w:bookmarkEnd w:id="1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t>3</w:t>
            </w:r>
            <w:r>
              <w:rPr>
                <w:vertAlign w:val="superscript"/>
              </w:rPr>
              <w:t>3</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tcBorders>
              <w:bottom w:val="nil"/>
            </w:tcBorders>
            <w:shd w:val="clear" w:color="auto" w:fill="auto"/>
          </w:tcPr>
          <w:p>
            <w:pPr>
              <w:pStyle w:val="52"/>
            </w:pPr>
          </w:p>
        </w:tc>
        <w:tc>
          <w:tcPr>
            <w:tcW w:w="1000" w:type="pct"/>
            <w:gridSpan w:val="2"/>
          </w:tcPr>
          <w:p>
            <w:pPr>
              <w:pStyle w:val="52"/>
            </w:pPr>
            <w:r>
              <w:t>DFT-s-OFDM PI/2 BPSK</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rFonts w:eastAsia="MS Mincho"/>
                <w:lang w:eastAsia="en-US"/>
              </w:rPr>
              <w:t>4</w:t>
            </w:r>
            <w:r>
              <w:rPr>
                <w:rFonts w:eastAsia="MS Mincho"/>
                <w:vertAlign w:val="superscript"/>
                <w:lang w:eastAsia="ja-JP"/>
              </w:rPr>
              <w:t>4</w:t>
            </w:r>
          </w:p>
        </w:tc>
        <w:tc>
          <w:tcPr>
            <w:tcW w:w="484" w:type="pct"/>
            <w:gridSpan w:val="2"/>
          </w:tcPr>
          <w:p>
            <w:pPr>
              <w:pStyle w:val="52"/>
            </w:pPr>
            <w:r>
              <w:rPr>
                <w:rFonts w:eastAsia="MS Mincho"/>
                <w:lang w:eastAsia="en-US"/>
              </w:rP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tcBorders>
              <w:top w:val="nil"/>
              <w:bottom w:val="nil"/>
            </w:tcBorders>
            <w:shd w:val="clear" w:color="auto" w:fill="auto"/>
          </w:tcPr>
          <w:p>
            <w:pPr>
              <w:pStyle w:val="52"/>
            </w:pPr>
          </w:p>
        </w:tc>
        <w:tc>
          <w:tcPr>
            <w:tcW w:w="1000" w:type="pct"/>
            <w:gridSpan w:val="2"/>
          </w:tcPr>
          <w:p>
            <w:pPr>
              <w:pStyle w:val="52"/>
            </w:pPr>
            <w:r>
              <w:rPr>
                <w:rFonts w:eastAsia="MS Mincho"/>
                <w:lang w:eastAsia="en-US"/>
              </w:rPr>
              <w:t>DFT-s-OFDM PI/2 BPSK</w:t>
            </w:r>
          </w:p>
        </w:tc>
        <w:tc>
          <w:tcPr>
            <w:tcW w:w="1270" w:type="pct"/>
            <w:shd w:val="clear" w:color="auto" w:fill="auto"/>
          </w:tcPr>
          <w:p>
            <w:pPr>
              <w:pStyle w:val="52"/>
            </w:pPr>
            <w:r>
              <w:rPr>
                <w:rFonts w:eastAsia="MS Mincho"/>
                <w:lang w:eastAsia="en-US"/>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rFonts w:eastAsia="MS Mincho"/>
                <w:lang w:eastAsia="en-US"/>
              </w:rPr>
              <w:t>5</w:t>
            </w:r>
            <w:r>
              <w:rPr>
                <w:rFonts w:eastAsia="MS Mincho"/>
                <w:vertAlign w:val="superscript"/>
                <w:lang w:eastAsia="ja-JP"/>
              </w:rPr>
              <w:t>4</w:t>
            </w:r>
          </w:p>
        </w:tc>
        <w:tc>
          <w:tcPr>
            <w:tcW w:w="484" w:type="pct"/>
            <w:gridSpan w:val="2"/>
          </w:tcPr>
          <w:p>
            <w:pPr>
              <w:pStyle w:val="52"/>
            </w:pPr>
            <w:r>
              <w:rPr>
                <w:rFonts w:eastAsia="MS Mincho"/>
                <w:lang w:eastAsia="en-US"/>
              </w:rP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tcBorders>
              <w:top w:val="nil"/>
              <w:bottom w:val="nil"/>
            </w:tcBorders>
            <w:shd w:val="clear" w:color="auto" w:fill="auto"/>
          </w:tcPr>
          <w:p>
            <w:pPr>
              <w:pStyle w:val="52"/>
            </w:pPr>
          </w:p>
        </w:tc>
        <w:tc>
          <w:tcPr>
            <w:tcW w:w="1000" w:type="pct"/>
            <w:gridSpan w:val="2"/>
          </w:tcPr>
          <w:p>
            <w:pPr>
              <w:pStyle w:val="52"/>
            </w:pPr>
            <w:r>
              <w:rPr>
                <w:rFonts w:eastAsia="MS Mincho"/>
                <w:lang w:eastAsia="en-US"/>
              </w:rPr>
              <w:t>DFT-s-OFDM PI/2 BPSK</w:t>
            </w:r>
          </w:p>
        </w:tc>
        <w:tc>
          <w:tcPr>
            <w:tcW w:w="1270" w:type="pct"/>
            <w:shd w:val="clear" w:color="auto" w:fill="auto"/>
          </w:tcPr>
          <w:p>
            <w:pPr>
              <w:pStyle w:val="52"/>
            </w:pPr>
            <w:r>
              <w:rPr>
                <w:rFonts w:eastAsia="MS Mincho"/>
                <w:lang w:eastAsia="en-US"/>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rFonts w:eastAsia="MS Mincho"/>
                <w:lang w:eastAsia="en-US"/>
              </w:rPr>
              <w:t>6</w:t>
            </w:r>
            <w:r>
              <w:rPr>
                <w:rFonts w:eastAsia="MS Mincho"/>
                <w:vertAlign w:val="superscript"/>
                <w:lang w:eastAsia="ja-JP"/>
              </w:rPr>
              <w:t>4</w:t>
            </w:r>
          </w:p>
        </w:tc>
        <w:tc>
          <w:tcPr>
            <w:tcW w:w="484" w:type="pct"/>
            <w:gridSpan w:val="2"/>
          </w:tcPr>
          <w:p>
            <w:pPr>
              <w:pStyle w:val="52"/>
            </w:pPr>
            <w:r>
              <w:rPr>
                <w:rFonts w:eastAsia="MS Mincho"/>
                <w:lang w:eastAsia="en-US"/>
              </w:rP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tcBorders>
              <w:top w:val="nil"/>
              <w:bottom w:val="nil"/>
            </w:tcBorders>
            <w:shd w:val="clear" w:color="auto" w:fill="auto"/>
          </w:tcPr>
          <w:p>
            <w:pPr>
              <w:pStyle w:val="52"/>
            </w:pPr>
          </w:p>
        </w:tc>
        <w:tc>
          <w:tcPr>
            <w:tcW w:w="1000" w:type="pct"/>
            <w:gridSpan w:val="2"/>
          </w:tcPr>
          <w:p>
            <w:pPr>
              <w:pStyle w:val="52"/>
            </w:pPr>
            <w:r>
              <w:rPr>
                <w:rFonts w:eastAsia="MS Mincho"/>
                <w:lang w:eastAsia="en-US"/>
              </w:rPr>
              <w:t>DFT-s-OFDM PI/2 BPSK</w:t>
            </w:r>
          </w:p>
        </w:tc>
        <w:tc>
          <w:tcPr>
            <w:tcW w:w="1270" w:type="pct"/>
            <w:shd w:val="clear" w:color="auto" w:fill="auto"/>
          </w:tcPr>
          <w:p>
            <w:pPr>
              <w:pStyle w:val="52"/>
            </w:pPr>
            <w:r>
              <w:rPr>
                <w:rFonts w:eastAsia="MS Mincho"/>
                <w:lang w:eastAsia="en-US"/>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bookmarkStart w:id="175" w:name="_Hlk507167488"/>
            <w:r>
              <w:rPr>
                <w:lang w:eastAsia="zh-CN"/>
              </w:rPr>
              <w:t>7</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restart"/>
            <w:tcBorders>
              <w:top w:val="nil"/>
            </w:tcBorders>
            <w:shd w:val="clear" w:color="auto" w:fill="auto"/>
          </w:tcPr>
          <w:p>
            <w:pPr>
              <w:pStyle w:val="52"/>
            </w:pPr>
          </w:p>
        </w:tc>
        <w:tc>
          <w:tcPr>
            <w:tcW w:w="1000" w:type="pct"/>
            <w:gridSpan w:val="2"/>
          </w:tcPr>
          <w:p>
            <w:pPr>
              <w:pStyle w:val="52"/>
            </w:pPr>
            <w:r>
              <w:t>DFT-s-OFDM QPSK</w:t>
            </w:r>
          </w:p>
        </w:tc>
        <w:tc>
          <w:tcPr>
            <w:tcW w:w="1270" w:type="pct"/>
            <w:shd w:val="clear" w:color="auto" w:fill="auto"/>
          </w:tcPr>
          <w:p>
            <w:pPr>
              <w:pStyle w:val="52"/>
            </w:pPr>
            <w:r>
              <w:t>Edger_1RB_Left</w:t>
            </w:r>
          </w:p>
        </w:tc>
      </w:tr>
      <w:bookmarkEnd w:id="1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bookmarkStart w:id="176" w:name="_Hlk507167546"/>
            <w:r>
              <w:rPr>
                <w:lang w:eastAsia="zh-CN"/>
              </w:rPr>
              <w:t>8</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QPSK</w:t>
            </w:r>
          </w:p>
        </w:tc>
        <w:tc>
          <w:tcPr>
            <w:tcW w:w="1270" w:type="pct"/>
            <w:shd w:val="clear" w:color="auto" w:fill="auto"/>
          </w:tcPr>
          <w:p>
            <w:pPr>
              <w:pStyle w:val="52"/>
            </w:pPr>
            <w:r>
              <w:t>Edge_1RB_Right</w:t>
            </w:r>
          </w:p>
        </w:tc>
      </w:tr>
      <w:bookmarkEnd w:id="17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9</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QPSK</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bookmarkStart w:id="177" w:name="_Hlk507167583"/>
            <w:r>
              <w:rPr>
                <w:lang w:eastAsia="zh-CN"/>
              </w:rPr>
              <w:t>10</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16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11</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16 QAM</w:t>
            </w:r>
          </w:p>
        </w:tc>
        <w:tc>
          <w:tcPr>
            <w:tcW w:w="1270" w:type="pct"/>
            <w:shd w:val="clear" w:color="auto" w:fill="auto"/>
          </w:tcPr>
          <w:p>
            <w:pPr>
              <w:pStyle w:val="52"/>
            </w:pPr>
            <w:r>
              <w:t>Edge_1RB_Right</w:t>
            </w:r>
          </w:p>
        </w:tc>
      </w:tr>
      <w:bookmarkEnd w:id="1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12</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16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13</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64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14</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64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15</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64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16</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256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17</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256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18</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DFT-s-OFDM 256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bookmarkStart w:id="178" w:name="_Hlk507167746"/>
            <w:r>
              <w:t>19</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QPSK</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20</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QPSK</w:t>
            </w:r>
          </w:p>
        </w:tc>
        <w:tc>
          <w:tcPr>
            <w:tcW w:w="1270" w:type="pct"/>
            <w:shd w:val="clear" w:color="auto" w:fill="auto"/>
          </w:tcPr>
          <w:p>
            <w:pPr>
              <w:pStyle w:val="52"/>
            </w:pPr>
            <w:r>
              <w:t>Edge_1RB_Right</w:t>
            </w:r>
          </w:p>
        </w:tc>
      </w:tr>
      <w:bookmarkEnd w:id="1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21</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QPSK</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22</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16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rPr>
                <w:lang w:eastAsia="zh-CN"/>
              </w:rPr>
              <w:t>23</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16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24</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16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25</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64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26</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64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27</w:t>
            </w:r>
          </w:p>
        </w:tc>
        <w:tc>
          <w:tcPr>
            <w:tcW w:w="484" w:type="pct"/>
            <w:gridSpan w:val="2"/>
          </w:tcPr>
          <w:p>
            <w:pPr>
              <w:pStyle w:val="52"/>
            </w:pPr>
            <w:r>
              <w:t>Default</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64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28</w:t>
            </w:r>
          </w:p>
        </w:tc>
        <w:tc>
          <w:tcPr>
            <w:tcW w:w="484" w:type="pct"/>
            <w:gridSpan w:val="2"/>
          </w:tcPr>
          <w:p>
            <w:pPr>
              <w:pStyle w:val="52"/>
            </w:pPr>
            <w:r>
              <w:t>Low</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256 QAM</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pPr>
            <w:r>
              <w:rPr>
                <w:lang w:eastAsia="zh-CN"/>
              </w:rPr>
              <w:t>29</w:t>
            </w:r>
          </w:p>
        </w:tc>
        <w:tc>
          <w:tcPr>
            <w:tcW w:w="484" w:type="pct"/>
            <w:gridSpan w:val="2"/>
          </w:tcPr>
          <w:p>
            <w:pPr>
              <w:pStyle w:val="52"/>
            </w:pPr>
            <w:r>
              <w:t>High</w:t>
            </w:r>
          </w:p>
        </w:tc>
        <w:tc>
          <w:tcPr>
            <w:tcW w:w="484" w:type="pct"/>
            <w:gridSpan w:val="2"/>
            <w:tcBorders>
              <w:top w:val="nil"/>
              <w:bottom w:val="nil"/>
            </w:tcBorders>
          </w:tcPr>
          <w:p>
            <w:pPr>
              <w:pStyle w:val="52"/>
            </w:pPr>
          </w:p>
        </w:tc>
        <w:tc>
          <w:tcPr>
            <w:tcW w:w="484" w:type="pct"/>
            <w:gridSpan w:val="2"/>
            <w:tcBorders>
              <w:top w:val="nil"/>
              <w:bottom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256 QAM</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lang w:eastAsia="zh-CN"/>
              </w:rPr>
            </w:pPr>
            <w:r>
              <w:t>30</w:t>
            </w:r>
          </w:p>
        </w:tc>
        <w:tc>
          <w:tcPr>
            <w:tcW w:w="484" w:type="pct"/>
            <w:gridSpan w:val="2"/>
          </w:tcPr>
          <w:p>
            <w:pPr>
              <w:pStyle w:val="52"/>
            </w:pPr>
            <w:r>
              <w:t>Default</w:t>
            </w:r>
          </w:p>
        </w:tc>
        <w:tc>
          <w:tcPr>
            <w:tcW w:w="484" w:type="pct"/>
            <w:gridSpan w:val="2"/>
            <w:tcBorders>
              <w:top w:val="nil"/>
            </w:tcBorders>
          </w:tcPr>
          <w:p>
            <w:pPr>
              <w:pStyle w:val="52"/>
            </w:pPr>
          </w:p>
        </w:tc>
        <w:tc>
          <w:tcPr>
            <w:tcW w:w="484" w:type="pct"/>
            <w:gridSpan w:val="2"/>
            <w:tcBorders>
              <w:top w:val="nil"/>
            </w:tcBorders>
          </w:tcPr>
          <w:p>
            <w:pPr>
              <w:pStyle w:val="52"/>
            </w:pPr>
          </w:p>
        </w:tc>
        <w:tc>
          <w:tcPr>
            <w:tcW w:w="898" w:type="pct"/>
            <w:gridSpan w:val="3"/>
            <w:vMerge w:val="continue"/>
            <w:shd w:val="clear" w:color="auto" w:fill="auto"/>
          </w:tcPr>
          <w:p>
            <w:pPr>
              <w:pStyle w:val="52"/>
            </w:pPr>
          </w:p>
        </w:tc>
        <w:tc>
          <w:tcPr>
            <w:tcW w:w="1000" w:type="pct"/>
            <w:gridSpan w:val="2"/>
          </w:tcPr>
          <w:p>
            <w:pPr>
              <w:pStyle w:val="52"/>
            </w:pPr>
            <w:r>
              <w:t>CP-OFDM 256 QAM</w:t>
            </w:r>
          </w:p>
        </w:tc>
        <w:tc>
          <w:tcPr>
            <w:tcW w:w="1270"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1" w:type="pct"/>
            <w:gridSpan w:val="2"/>
            <w:shd w:val="clear" w:color="auto" w:fill="auto"/>
          </w:tcPr>
          <w:p>
            <w:pPr>
              <w:pStyle w:val="52"/>
            </w:pPr>
            <w:r>
              <w:rPr>
                <w:lang w:eastAsia="zh-CN"/>
              </w:rPr>
              <w:t>31</w:t>
            </w:r>
            <w:r>
              <w:rPr>
                <w:vertAlign w:val="superscript"/>
                <w:lang w:eastAsia="zh-CN"/>
              </w:rPr>
              <w:t>5,6</w:t>
            </w:r>
          </w:p>
        </w:tc>
        <w:tc>
          <w:tcPr>
            <w:tcW w:w="484" w:type="pct"/>
            <w:gridSpan w:val="2"/>
          </w:tcPr>
          <w:p>
            <w:pPr>
              <w:pStyle w:val="52"/>
            </w:pPr>
            <w:r>
              <w:t>Low</w:t>
            </w:r>
          </w:p>
        </w:tc>
        <w:tc>
          <w:tcPr>
            <w:tcW w:w="484" w:type="pct"/>
            <w:gridSpan w:val="2"/>
            <w:tcBorders>
              <w:top w:val="nil"/>
            </w:tcBorders>
          </w:tcPr>
          <w:p>
            <w:pPr>
              <w:pStyle w:val="52"/>
            </w:pPr>
          </w:p>
        </w:tc>
        <w:tc>
          <w:tcPr>
            <w:tcW w:w="484" w:type="pct"/>
            <w:gridSpan w:val="2"/>
            <w:tcBorders>
              <w:top w:val="nil"/>
            </w:tcBorders>
          </w:tcPr>
          <w:p>
            <w:pPr>
              <w:pStyle w:val="52"/>
            </w:pPr>
          </w:p>
        </w:tc>
        <w:tc>
          <w:tcPr>
            <w:tcW w:w="892" w:type="pct"/>
            <w:gridSpan w:val="3"/>
            <w:shd w:val="clear" w:color="auto" w:fill="auto"/>
          </w:tcPr>
          <w:p>
            <w:pPr>
              <w:pStyle w:val="52"/>
            </w:pPr>
          </w:p>
        </w:tc>
        <w:tc>
          <w:tcPr>
            <w:tcW w:w="996" w:type="pct"/>
          </w:tcPr>
          <w:p>
            <w:pPr>
              <w:pStyle w:val="52"/>
            </w:pPr>
            <w:r>
              <w:rPr>
                <w:rFonts w:eastAsia="MS Mincho" w:cs="Arial"/>
              </w:rPr>
              <w:t>DFT-s-OFDM Pi/2 BPSK w Pi/2 BPSK DMRS</w:t>
            </w:r>
          </w:p>
        </w:tc>
        <w:tc>
          <w:tcPr>
            <w:tcW w:w="127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1" w:type="pct"/>
            <w:gridSpan w:val="2"/>
            <w:shd w:val="clear" w:color="auto" w:fill="auto"/>
          </w:tcPr>
          <w:p>
            <w:pPr>
              <w:pStyle w:val="52"/>
            </w:pPr>
            <w:r>
              <w:rPr>
                <w:lang w:eastAsia="zh-CN"/>
              </w:rPr>
              <w:t>32</w:t>
            </w:r>
            <w:r>
              <w:rPr>
                <w:vertAlign w:val="superscript"/>
                <w:lang w:eastAsia="zh-CN"/>
              </w:rPr>
              <w:t>5,6</w:t>
            </w:r>
          </w:p>
        </w:tc>
        <w:tc>
          <w:tcPr>
            <w:tcW w:w="484" w:type="pct"/>
            <w:gridSpan w:val="2"/>
          </w:tcPr>
          <w:p>
            <w:pPr>
              <w:pStyle w:val="52"/>
            </w:pPr>
            <w:r>
              <w:t>High</w:t>
            </w:r>
          </w:p>
        </w:tc>
        <w:tc>
          <w:tcPr>
            <w:tcW w:w="484" w:type="pct"/>
            <w:gridSpan w:val="2"/>
            <w:tcBorders>
              <w:top w:val="nil"/>
            </w:tcBorders>
          </w:tcPr>
          <w:p>
            <w:pPr>
              <w:pStyle w:val="52"/>
            </w:pPr>
          </w:p>
        </w:tc>
        <w:tc>
          <w:tcPr>
            <w:tcW w:w="484" w:type="pct"/>
            <w:gridSpan w:val="2"/>
            <w:tcBorders>
              <w:top w:val="nil"/>
            </w:tcBorders>
          </w:tcPr>
          <w:p>
            <w:pPr>
              <w:pStyle w:val="52"/>
            </w:pPr>
          </w:p>
        </w:tc>
        <w:tc>
          <w:tcPr>
            <w:tcW w:w="892" w:type="pct"/>
            <w:gridSpan w:val="3"/>
            <w:shd w:val="clear" w:color="auto" w:fill="auto"/>
          </w:tcPr>
          <w:p>
            <w:pPr>
              <w:pStyle w:val="52"/>
            </w:pPr>
          </w:p>
        </w:tc>
        <w:tc>
          <w:tcPr>
            <w:tcW w:w="996" w:type="pct"/>
          </w:tcPr>
          <w:p>
            <w:pPr>
              <w:pStyle w:val="52"/>
            </w:pPr>
            <w:r>
              <w:rPr>
                <w:rFonts w:eastAsia="MS Mincho" w:cs="Arial"/>
              </w:rPr>
              <w:t>DFT-s-OFDM Pi/2 BPSK w Pi/2 BPSK DMRS</w:t>
            </w:r>
          </w:p>
        </w:tc>
        <w:tc>
          <w:tcPr>
            <w:tcW w:w="127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1" w:type="pct"/>
            <w:gridSpan w:val="2"/>
            <w:shd w:val="clear" w:color="auto" w:fill="auto"/>
          </w:tcPr>
          <w:p>
            <w:pPr>
              <w:pStyle w:val="52"/>
            </w:pPr>
            <w:r>
              <w:rPr>
                <w:lang w:eastAsia="zh-CN"/>
              </w:rPr>
              <w:t>33</w:t>
            </w:r>
            <w:r>
              <w:rPr>
                <w:vertAlign w:val="superscript"/>
                <w:lang w:eastAsia="zh-CN"/>
              </w:rPr>
              <w:t>5,6</w:t>
            </w:r>
          </w:p>
        </w:tc>
        <w:tc>
          <w:tcPr>
            <w:tcW w:w="484" w:type="pct"/>
            <w:gridSpan w:val="2"/>
          </w:tcPr>
          <w:p>
            <w:pPr>
              <w:pStyle w:val="52"/>
            </w:pPr>
            <w:r>
              <w:t>Default</w:t>
            </w:r>
          </w:p>
        </w:tc>
        <w:tc>
          <w:tcPr>
            <w:tcW w:w="484" w:type="pct"/>
            <w:gridSpan w:val="2"/>
            <w:tcBorders>
              <w:top w:val="nil"/>
            </w:tcBorders>
          </w:tcPr>
          <w:p>
            <w:pPr>
              <w:pStyle w:val="52"/>
            </w:pPr>
          </w:p>
        </w:tc>
        <w:tc>
          <w:tcPr>
            <w:tcW w:w="484" w:type="pct"/>
            <w:gridSpan w:val="2"/>
            <w:tcBorders>
              <w:top w:val="nil"/>
            </w:tcBorders>
          </w:tcPr>
          <w:p>
            <w:pPr>
              <w:pStyle w:val="52"/>
            </w:pPr>
          </w:p>
        </w:tc>
        <w:tc>
          <w:tcPr>
            <w:tcW w:w="892" w:type="pct"/>
            <w:gridSpan w:val="3"/>
            <w:shd w:val="clear" w:color="auto" w:fill="auto"/>
          </w:tcPr>
          <w:p>
            <w:pPr>
              <w:pStyle w:val="52"/>
            </w:pPr>
          </w:p>
        </w:tc>
        <w:tc>
          <w:tcPr>
            <w:tcW w:w="996" w:type="pct"/>
          </w:tcPr>
          <w:p>
            <w:pPr>
              <w:pStyle w:val="52"/>
            </w:pPr>
            <w:r>
              <w:rPr>
                <w:rFonts w:eastAsia="MS Mincho" w:cs="Arial"/>
              </w:rPr>
              <w:t>DFT-s-OFDM Pi/2 BPSK w Pi/2 BPSK DMRS</w:t>
            </w:r>
          </w:p>
        </w:tc>
        <w:tc>
          <w:tcPr>
            <w:tcW w:w="127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t>NOTE 3:</w:t>
            </w:r>
            <w:r>
              <w:tab/>
            </w:r>
            <w:r>
              <w:t xml:space="preserve"> 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n40, n4</w:t>
            </w:r>
            <w:r>
              <w:rPr>
                <w:lang w:eastAsia="zh-CN"/>
              </w:rPr>
              <w:t>1</w:t>
            </w:r>
            <w:r>
              <w:t>, n77, n78 and n79.</w:t>
            </w:r>
          </w:p>
          <w:p>
            <w:pPr>
              <w:pStyle w:val="66"/>
            </w:pPr>
            <w:r>
              <w:rPr>
                <w:lang w:eastAsia="ja-JP"/>
              </w:rPr>
              <w:t>NOTE 4:</w:t>
            </w:r>
            <w:r>
              <w:rPr>
                <w:lang w:eastAsia="ja-JP"/>
              </w:rPr>
              <w:tab/>
            </w:r>
            <w:r>
              <w:t>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n41, n77, n78 and n79.</w:t>
            </w:r>
          </w:p>
          <w:p>
            <w:pPr>
              <w:pStyle w:val="66"/>
            </w:pPr>
            <w:r>
              <w:t>NOTE 5:</w:t>
            </w:r>
            <w: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Times"/>
                <w:i/>
              </w:rPr>
              <w:t>powerBoostPi2BPSK</w:t>
            </w:r>
            <w:r>
              <w:t xml:space="preserve"> is set to 0 for bands n40, n77, n78 and n79.</w:t>
            </w:r>
          </w:p>
          <w:p>
            <w:pPr>
              <w:pStyle w:val="66"/>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tbl>
    <w:p/>
    <w:p>
      <w:pPr>
        <w:pStyle w:val="55"/>
      </w:pPr>
      <w:r>
        <w:t>Table 6.5.2.2.4.1-2: Test Configuration Table for power class 2</w:t>
      </w:r>
      <w:r>
        <w:rPr>
          <w:lang w:eastAsia="zh-CN"/>
        </w:rPr>
        <w:t xml:space="preserve"> (</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Environment as specified in TS 38.508-1 [5] subclause 4.1</w:t>
            </w:r>
          </w:p>
        </w:tc>
        <w:tc>
          <w:tcPr>
            <w:tcW w:w="293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Frequencies as specified in TS 38.508-1 [5] subclause 4.3.1</w:t>
            </w:r>
          </w:p>
        </w:tc>
        <w:tc>
          <w:tcPr>
            <w:tcW w:w="2932"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Channel Bandwidths as specified in TS 38.508-1 [5] subclause 4.3.1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tcBorders>
              <w:bottom w:val="nil"/>
            </w:tcBorders>
            <w:shd w:val="clear" w:color="auto" w:fill="auto"/>
          </w:tcPr>
          <w:p>
            <w:pPr>
              <w:pStyle w:val="52"/>
            </w:pPr>
            <w:r>
              <w:t>N/A</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3</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4</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5</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6</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7</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8</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9</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10</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11</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12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13</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14</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t>15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DFT-s-OFDM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16</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17</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t>18</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t>19</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20</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21</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22</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23</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pPr>
            <w:r>
              <w:t>24</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25</w:t>
            </w:r>
          </w:p>
        </w:tc>
        <w:tc>
          <w:tcPr>
            <w:tcW w:w="423" w:type="pct"/>
            <w:shd w:val="clear" w:color="auto" w:fill="auto"/>
          </w:tcPr>
          <w:p>
            <w:pPr>
              <w:pStyle w:val="52"/>
            </w:pPr>
            <w:r>
              <w:t>Low</w:t>
            </w:r>
          </w:p>
        </w:tc>
        <w:tc>
          <w:tcPr>
            <w:tcW w:w="1222" w:type="pct"/>
            <w:tcBorders>
              <w:top w:val="nil"/>
              <w:bottom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26</w:t>
            </w:r>
          </w:p>
        </w:tc>
        <w:tc>
          <w:tcPr>
            <w:tcW w:w="423" w:type="pct"/>
            <w:shd w:val="clear" w:color="auto" w:fill="auto"/>
          </w:tcPr>
          <w:p>
            <w:pPr>
              <w:pStyle w:val="52"/>
            </w:pPr>
            <w:r>
              <w:t>High</w:t>
            </w:r>
          </w:p>
        </w:tc>
        <w:tc>
          <w:tcPr>
            <w:tcW w:w="1222" w:type="pct"/>
            <w:tcBorders>
              <w:top w:val="nil"/>
              <w:bottom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27</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t>NOTE 3:</w:t>
            </w:r>
            <w:r>
              <w:tab/>
            </w:r>
            <w:r>
              <w:t>It is essential that all test points in this table also exist in table 6.2.2.4.1-2.</w:t>
            </w:r>
          </w:p>
        </w:tc>
      </w:tr>
    </w:tbl>
    <w:p/>
    <w:p>
      <w:pPr>
        <w:pStyle w:val="55"/>
      </w:pPr>
      <w:r>
        <w:t>Table 6.5.2.2.4.1-2a: Test Configuration T</w:t>
      </w:r>
      <w:r>
        <w:rPr>
          <w:lang w:eastAsia="zh-CN"/>
        </w:rPr>
        <w:t>able</w:t>
      </w:r>
      <w:r>
        <w:rPr>
          <w:rFonts w:eastAsia="DengXian"/>
          <w:lang w:eastAsia="zh-CN"/>
        </w:rPr>
        <w:t xml:space="preserve"> for </w:t>
      </w:r>
      <w:r>
        <w:t xml:space="preserve">power class 1 for Band n14 </w:t>
      </w:r>
      <w:r>
        <w:rPr>
          <w:lang w:eastAsia="zh-CN"/>
        </w:rPr>
        <w:t>(</w:t>
      </w:r>
      <w:r>
        <w:t>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Environment as specified in TS 38.508-1 [5] subclause 4.1</w:t>
            </w:r>
          </w:p>
        </w:tc>
        <w:tc>
          <w:tcPr>
            <w:tcW w:w="2930"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Frequencies as specified in TS 38.508-1 [5] subclause 4.3.1</w:t>
            </w:r>
          </w:p>
        </w:tc>
        <w:tc>
          <w:tcPr>
            <w:tcW w:w="2930"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Channel Bandwidths as specified in TS 38.508-1 [5] subclause 4.3.1</w:t>
            </w:r>
          </w:p>
        </w:tc>
        <w:tc>
          <w:tcPr>
            <w:tcW w:w="2930"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pPr>
            <w:r>
              <w:t>Test SCS as specified in Table 5.3.5-1</w:t>
            </w:r>
          </w:p>
        </w:tc>
        <w:tc>
          <w:tcPr>
            <w:tcW w:w="2930"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0"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vMerge w:val="restart"/>
            <w:shd w:val="clear" w:color="auto" w:fill="auto"/>
          </w:tcPr>
          <w:p>
            <w:pPr>
              <w:pStyle w:val="52"/>
            </w:pPr>
            <w:r>
              <w:t>N/A for Spectrum Emission Mask test case</w:t>
            </w:r>
          </w:p>
        </w:tc>
        <w:tc>
          <w:tcPr>
            <w:tcW w:w="1727" w:type="pct"/>
          </w:tcPr>
          <w:p>
            <w:pPr>
              <w:pStyle w:val="51"/>
              <w:rPr>
                <w:lang w:eastAsia="zh-CN"/>
              </w:rPr>
            </w:pPr>
            <w:r>
              <w:rPr>
                <w:lang w:eastAsia="zh-CN"/>
              </w:rPr>
              <w:t xml:space="preserve">Modulation </w:t>
            </w:r>
            <w:r>
              <w:t>(NOTE 2)</w:t>
            </w:r>
          </w:p>
        </w:tc>
        <w:tc>
          <w:tcPr>
            <w:tcW w:w="1204"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lang w:eastAsia="zh-CN"/>
              </w:rPr>
            </w:pPr>
            <w:r>
              <w:rPr>
                <w:lang w:eastAsia="zh-CN"/>
              </w:rPr>
              <w:t>1</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2</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3</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4</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Pi/2 BPSK</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lang w:eastAsia="zh-CN"/>
              </w:rPr>
            </w:pPr>
            <w:r>
              <w:rPr>
                <w:lang w:eastAsia="zh-CN"/>
              </w:rPr>
              <w:t>5</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6</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7</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8</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QPSK</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10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11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12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16 QAM</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13</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14</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15</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64 QAM</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16</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17</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18</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DFT-s-OFDM 256 QAM</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19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QPSK</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23</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24</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25</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26</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16 QAM</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27</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lang w:eastAsia="ja-JP"/>
              </w:rPr>
              <w:t>CP-</w:t>
            </w:r>
            <w:r>
              <w:t>OFDM 64 QAM</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28</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rPr>
                <w:lang w:eastAsia="ja-JP"/>
              </w:rPr>
              <w:t>CP-</w:t>
            </w:r>
            <w:r>
              <w:t>OFDM 64 QAM</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29</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64 QAM</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30</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lang w:eastAsia="ja-JP"/>
              </w:rPr>
              <w:t>CP-</w:t>
            </w:r>
            <w:r>
              <w:t>OFDM 256 QAM</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31</w:t>
            </w:r>
          </w:p>
        </w:tc>
        <w:tc>
          <w:tcPr>
            <w:tcW w:w="423" w:type="pct"/>
            <w:shd w:val="clear" w:color="auto" w:fill="auto"/>
          </w:tcPr>
          <w:p>
            <w:pPr>
              <w:pStyle w:val="52"/>
            </w:pPr>
            <w:r>
              <w:t>High</w:t>
            </w:r>
          </w:p>
        </w:tc>
        <w:tc>
          <w:tcPr>
            <w:tcW w:w="1222" w:type="pct"/>
            <w:vMerge w:val="continue"/>
            <w:shd w:val="clear" w:color="auto" w:fill="auto"/>
          </w:tcPr>
          <w:p>
            <w:pPr>
              <w:pStyle w:val="52"/>
            </w:pPr>
          </w:p>
        </w:tc>
        <w:tc>
          <w:tcPr>
            <w:tcW w:w="1727" w:type="pct"/>
          </w:tcPr>
          <w:p>
            <w:pPr>
              <w:pStyle w:val="52"/>
            </w:pPr>
            <w:r>
              <w:rPr>
                <w:lang w:eastAsia="ja-JP"/>
              </w:rPr>
              <w:t>CP-</w:t>
            </w:r>
            <w:r>
              <w:t>OFDM 256 QAM</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t>32</w:t>
            </w:r>
          </w:p>
        </w:tc>
        <w:tc>
          <w:tcPr>
            <w:tcW w:w="423" w:type="pct"/>
            <w:shd w:val="clear" w:color="auto" w:fill="auto"/>
          </w:tcPr>
          <w:p>
            <w:pPr>
              <w:pStyle w:val="52"/>
            </w:pPr>
            <w:r>
              <w:t>Default</w:t>
            </w:r>
          </w:p>
        </w:tc>
        <w:tc>
          <w:tcPr>
            <w:tcW w:w="1222" w:type="pct"/>
            <w:vMerge w:val="continue"/>
            <w:shd w:val="clear" w:color="auto" w:fill="auto"/>
          </w:tcPr>
          <w:p>
            <w:pPr>
              <w:pStyle w:val="52"/>
            </w:pPr>
          </w:p>
        </w:tc>
        <w:tc>
          <w:tcPr>
            <w:tcW w:w="1727" w:type="pct"/>
          </w:tcPr>
          <w:p>
            <w:pPr>
              <w:pStyle w:val="52"/>
            </w:pPr>
            <w:r>
              <w:t>CP-OFDM 256 QAM</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33</w:t>
            </w:r>
            <w:r>
              <w:rPr>
                <w:vertAlign w:val="superscript"/>
                <w:lang w:eastAsia="zh-CN"/>
              </w:rPr>
              <w:t>3</w:t>
            </w:r>
          </w:p>
        </w:tc>
        <w:tc>
          <w:tcPr>
            <w:tcW w:w="423" w:type="pct"/>
            <w:shd w:val="clear" w:color="auto" w:fill="auto"/>
          </w:tcPr>
          <w:p>
            <w:pPr>
              <w:pStyle w:val="52"/>
            </w:pPr>
            <w:r>
              <w:t>Low</w:t>
            </w:r>
          </w:p>
        </w:tc>
        <w:tc>
          <w:tcPr>
            <w:tcW w:w="1222" w:type="pct"/>
            <w:vMerge w:val="continue"/>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34</w:t>
            </w:r>
            <w:r>
              <w:rPr>
                <w:vertAlign w:val="superscript"/>
                <w:lang w:eastAsia="zh-CN"/>
              </w:rPr>
              <w:t>3</w:t>
            </w:r>
          </w:p>
        </w:tc>
        <w:tc>
          <w:tcPr>
            <w:tcW w:w="423" w:type="pct"/>
            <w:shd w:val="clear" w:color="auto" w:fill="auto"/>
          </w:tcPr>
          <w:p>
            <w:pPr>
              <w:pStyle w:val="52"/>
            </w:pPr>
            <w:r>
              <w:t>High</w:t>
            </w:r>
          </w:p>
        </w:tc>
        <w:tc>
          <w:tcPr>
            <w:tcW w:w="1222" w:type="pct"/>
            <w:vMerge w:val="continue"/>
            <w:tcBorders>
              <w:bottom w:val="nil"/>
            </w:tcBorders>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pPr>
            <w:r>
              <w:rPr>
                <w:lang w:eastAsia="zh-CN"/>
              </w:rPr>
              <w:t>35</w:t>
            </w:r>
            <w:r>
              <w:rPr>
                <w:vertAlign w:val="superscript"/>
                <w:lang w:eastAsia="zh-CN"/>
              </w:rPr>
              <w:t>3</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rPr>
                <w:rFonts w:eastAsia="Yu Mincho" w:cs="Arial Black"/>
              </w:rPr>
              <w:t>DFT-s-OFDM Pi/2 BPSK w Pi/2 BPSK DMRS</w:t>
            </w:r>
          </w:p>
        </w:tc>
        <w:tc>
          <w:tcPr>
            <w:tcW w:w="1204"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t>DFT-s-OFDM Pi/2 BPSK test applies only for UEs which supports half Pi BPSK in FR1.</w:t>
            </w:r>
          </w:p>
          <w:p>
            <w:pPr>
              <w:pStyle w:val="66"/>
              <w:rPr>
                <w:lang w:eastAsia="zh-CN"/>
              </w:rPr>
            </w:pPr>
            <w:r>
              <w:rPr>
                <w:lang w:eastAsia="zh-CN"/>
              </w:rPr>
              <w:t>NOTE 3:</w:t>
            </w:r>
            <w:r>
              <w:rPr>
                <w:lang w:eastAsia="zh-CN"/>
              </w:rPr>
              <w:tab/>
            </w:r>
            <w:r>
              <w:rPr>
                <w:lang w:eastAsia="zh-CN"/>
              </w:rPr>
              <w:t xml:space="preserve">Applicable to UEs indicating support for UE capability </w:t>
            </w:r>
            <w:r>
              <w:rPr>
                <w:i/>
              </w:rPr>
              <w:t>lowPAPR-DMRS-PUSCHwithPrecoding-r16</w:t>
            </w:r>
            <w:r>
              <w:t>.</w:t>
            </w:r>
          </w:p>
          <w:p>
            <w:pPr>
              <w:pStyle w:val="66"/>
              <w:rPr>
                <w:rFonts w:eastAsia="DengXian"/>
              </w:rPr>
            </w:pPr>
            <w:r>
              <w:rPr>
                <w:lang w:eastAsia="zh-CN"/>
              </w:rPr>
              <w:t>NOTE 4:</w:t>
            </w:r>
            <w:r>
              <w:rPr>
                <w:lang w:eastAsia="zh-CN"/>
              </w:rPr>
              <w:tab/>
            </w:r>
            <w:r>
              <w:t>It is essential that all test points in this table also exist in table 6.2.2.4.1-2.</w:t>
            </w:r>
          </w:p>
        </w:tc>
      </w:tr>
    </w:tbl>
    <w:p/>
    <w:p>
      <w:pPr>
        <w:pStyle w:val="55"/>
        <w:rPr>
          <w:lang w:eastAsia="zh-CN"/>
        </w:rPr>
      </w:pPr>
      <w:r>
        <w:t xml:space="preserve">Table 6.5.2.2.4.1-3: Test Configuration Table for power class </w:t>
      </w:r>
      <w:r>
        <w:rPr>
          <w:lang w:eastAsia="zh-CN"/>
        </w:rPr>
        <w:t>2&amp;3</w:t>
      </w:r>
      <w:r>
        <w:t xml:space="preserve"> </w:t>
      </w:r>
      <w:r>
        <w:rPr>
          <w:lang w:eastAsia="zh-CN"/>
        </w:rPr>
        <w:t>(</w:t>
      </w:r>
      <w:r>
        <w:t>almost contiguous allocation</w:t>
      </w:r>
      <w:r>
        <w:rPr>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Environment as specified in TS 38.508-1 [5] subclause 4.1</w:t>
            </w:r>
          </w:p>
        </w:tc>
        <w:tc>
          <w:tcPr>
            <w:tcW w:w="2932" w:type="pct"/>
            <w:gridSpan w:val="2"/>
          </w:tcPr>
          <w:p>
            <w:pPr>
              <w:pStyle w:val="53"/>
            </w:pPr>
            <w:r>
              <w:t>Normal</w:t>
            </w:r>
          </w:p>
        </w:tc>
      </w:tr>
      <w:tr>
        <w:tc>
          <w:tcPr>
            <w:tcW w:w="2068" w:type="pct"/>
            <w:gridSpan w:val="3"/>
            <w:shd w:val="clear" w:color="auto" w:fill="auto"/>
          </w:tcPr>
          <w:p>
            <w:pPr>
              <w:pStyle w:val="53"/>
            </w:pPr>
            <w:r>
              <w:t>Test Frequencies as specified in TS 38.508-1 [5] subclause 4.3.1</w:t>
            </w:r>
          </w:p>
        </w:tc>
        <w:tc>
          <w:tcPr>
            <w:tcW w:w="2932" w:type="pct"/>
            <w:gridSpan w:val="2"/>
          </w:tcPr>
          <w:p>
            <w:pPr>
              <w:pStyle w:val="53"/>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Channel Bandwidths as specified in TS 38.508-1 [5] subclause 4.3.1</w:t>
            </w:r>
          </w:p>
        </w:tc>
        <w:tc>
          <w:tcPr>
            <w:tcW w:w="2932" w:type="pct"/>
            <w:gridSpan w:val="2"/>
          </w:tcPr>
          <w:p>
            <w:pPr>
              <w:pStyle w:val="53"/>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r>
              <w:rPr>
                <w:lang w:eastAsia="zh-CN"/>
              </w:rPr>
              <w:t>Test ID</w:t>
            </w:r>
          </w:p>
        </w:tc>
        <w:tc>
          <w:tcPr>
            <w:tcW w:w="423" w:type="pct"/>
            <w:shd w:val="clear" w:color="auto" w:fill="auto"/>
          </w:tcPr>
          <w:p>
            <w:pPr>
              <w:pStyle w:val="51"/>
              <w:rPr>
                <w:lang w:eastAsia="zh-CN"/>
              </w:rPr>
            </w:pPr>
            <w:r>
              <w:t>Freq</w:t>
            </w:r>
          </w:p>
        </w:tc>
        <w:tc>
          <w:tcPr>
            <w:tcW w:w="1222"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lang w:eastAsia="zh-CN"/>
              </w:rPr>
            </w:pPr>
          </w:p>
        </w:tc>
        <w:tc>
          <w:tcPr>
            <w:tcW w:w="423" w:type="pct"/>
            <w:shd w:val="clear" w:color="auto" w:fill="auto"/>
          </w:tcPr>
          <w:p>
            <w:pPr>
              <w:pStyle w:val="51"/>
              <w:rPr>
                <w:lang w:eastAsia="zh-CN"/>
              </w:rPr>
            </w:pPr>
          </w:p>
        </w:tc>
        <w:tc>
          <w:tcPr>
            <w:tcW w:w="1222" w:type="pct"/>
            <w:tcBorders>
              <w:bottom w:val="nil"/>
            </w:tcBorders>
            <w:shd w:val="clear" w:color="auto" w:fill="auto"/>
          </w:tcPr>
          <w:p>
            <w:pPr>
              <w:pStyle w:val="52"/>
            </w:pPr>
            <w:r>
              <w:t>N/A</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1</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2</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3</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4</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16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5</w:t>
            </w:r>
          </w:p>
        </w:tc>
        <w:tc>
          <w:tcPr>
            <w:tcW w:w="423" w:type="pct"/>
            <w:shd w:val="clear" w:color="auto" w:fill="auto"/>
          </w:tcPr>
          <w:p>
            <w:pPr>
              <w:pStyle w:val="52"/>
            </w:pPr>
            <w:r>
              <w:t>Default</w:t>
            </w:r>
          </w:p>
        </w:tc>
        <w:tc>
          <w:tcPr>
            <w:tcW w:w="1222" w:type="pct"/>
            <w:tcBorders>
              <w:top w:val="nil"/>
              <w:bottom w:val="nil"/>
            </w:tcBorders>
            <w:shd w:val="clear" w:color="auto" w:fill="auto"/>
          </w:tcPr>
          <w:p>
            <w:pPr>
              <w:pStyle w:val="52"/>
            </w:pPr>
          </w:p>
        </w:tc>
        <w:tc>
          <w:tcPr>
            <w:tcW w:w="1727" w:type="pct"/>
          </w:tcPr>
          <w:p>
            <w:pPr>
              <w:pStyle w:val="52"/>
            </w:pPr>
            <w:r>
              <w:t>CP-OFDM 64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lang w:eastAsia="zh-CN"/>
              </w:rPr>
            </w:pPr>
            <w:r>
              <w:rPr>
                <w:lang w:eastAsia="zh-CN"/>
              </w:rPr>
              <w:t>6</w:t>
            </w:r>
          </w:p>
        </w:tc>
        <w:tc>
          <w:tcPr>
            <w:tcW w:w="423" w:type="pct"/>
            <w:shd w:val="clear" w:color="auto" w:fill="auto"/>
          </w:tcPr>
          <w:p>
            <w:pPr>
              <w:pStyle w:val="52"/>
            </w:pPr>
            <w:r>
              <w:t>Default</w:t>
            </w:r>
          </w:p>
        </w:tc>
        <w:tc>
          <w:tcPr>
            <w:tcW w:w="1222" w:type="pct"/>
            <w:tcBorders>
              <w:top w:val="nil"/>
            </w:tcBorders>
            <w:shd w:val="clear" w:color="auto" w:fill="auto"/>
          </w:tcPr>
          <w:p>
            <w:pPr>
              <w:pStyle w:val="52"/>
            </w:pPr>
          </w:p>
        </w:tc>
        <w:tc>
          <w:tcPr>
            <w:tcW w:w="1727" w:type="pct"/>
          </w:tcPr>
          <w:p>
            <w:pPr>
              <w:pStyle w:val="52"/>
            </w:pPr>
            <w:r>
              <w:t>CP-OFDM 256 QAM</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6.5.2.2.4.1-4.</w:t>
            </w:r>
          </w:p>
          <w:p>
            <w:pPr>
              <w:pStyle w:val="66"/>
            </w:pPr>
            <w:r>
              <w:t>NOTE 2:   It is essential that all test points in this table also exist in table 6.2.2.4.1-3.</w:t>
            </w:r>
          </w:p>
          <w:p>
            <w:pPr>
              <w:pStyle w:val="66"/>
              <w:rPr>
                <w:rFonts w:eastAsia="DengXian"/>
                <w:lang w:eastAsia="zh-CN"/>
              </w:rPr>
            </w:pPr>
            <w:r>
              <w:rPr>
                <w:rFonts w:eastAsia="DengXian"/>
              </w:rPr>
              <w:t>NOTE 3:   Test applies only for UEs which support almost contiguous UL CP-OFDM transmissions. For PC2 UE which support almost contiguous UL CP-OFDM transmissions, test is only applicable for Release 16 and forward.</w:t>
            </w:r>
          </w:p>
        </w:tc>
      </w:tr>
    </w:tbl>
    <w:p>
      <w:pPr>
        <w:rPr>
          <w:highlight w:val="yellow"/>
          <w:lang w:eastAsia="zh-CN"/>
        </w:rPr>
      </w:pPr>
    </w:p>
    <w:p>
      <w:pPr>
        <w:pStyle w:val="55"/>
        <w:rPr>
          <w:lang w:eastAsia="zh-CN"/>
        </w:rPr>
      </w:pPr>
      <w:r>
        <w:t xml:space="preserve">Table 6.5.2.2.4.1-4: </w:t>
      </w:r>
      <w:r>
        <w:rPr>
          <w:lang w:eastAsia="zh-CN"/>
        </w:rPr>
        <w:t>U</w:t>
      </w:r>
      <w:r>
        <w:t>plink configuration</w:t>
      </w:r>
      <w:r>
        <w:rPr>
          <w:lang w:eastAsia="zh-CN"/>
        </w:rPr>
        <w:t xml:space="preserve"> for</w:t>
      </w:r>
      <w:r>
        <w:rPr>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Channel Bandwidth</w:t>
            </w:r>
            <w:r>
              <w:rPr>
                <w:rFonts w:ascii="宋体" w:hAnsi="宋体"/>
              </w:rPr>
              <w:t>（</w:t>
            </w:r>
            <w:r>
              <w:t>MHz</w:t>
            </w:r>
            <w:r>
              <w:rPr>
                <w:rFonts w:ascii="宋体" w:hAnsi="宋体"/>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Inner Full</w:t>
            </w:r>
          </w:p>
        </w:tc>
      </w:tr>
      <w:tr>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83" w:type="dxa"/>
            <w:tcBorders>
              <w:top w:val="single" w:color="auto" w:sz="4" w:space="0"/>
              <w:left w:val="nil"/>
              <w:right w:val="single" w:color="auto" w:sz="4" w:space="0"/>
            </w:tcBorders>
            <w:shd w:val="clear" w:color="auto" w:fill="auto"/>
          </w:tcPr>
          <w:p>
            <w:pPr>
              <w:pStyle w:val="51"/>
            </w:pPr>
            <w:r>
              <w:t>Cluster1 RB allocations</w:t>
            </w:r>
          </w:p>
        </w:tc>
        <w:tc>
          <w:tcPr>
            <w:tcW w:w="1583" w:type="dxa"/>
            <w:tcBorders>
              <w:top w:val="single" w:color="auto" w:sz="4" w:space="0"/>
              <w:left w:val="nil"/>
              <w:right w:val="single" w:color="auto" w:sz="4" w:space="0"/>
            </w:tcBorders>
            <w:shd w:val="clear" w:color="auto" w:fill="auto"/>
          </w:tcPr>
          <w:p>
            <w:pPr>
              <w:pStyle w:val="51"/>
            </w:pPr>
            <w:r>
              <w:t>Cluster2 RB allocations</w:t>
            </w:r>
          </w:p>
        </w:tc>
        <w:tc>
          <w:tcPr>
            <w:tcW w:w="1157" w:type="dxa"/>
            <w:tcBorders>
              <w:top w:val="single" w:color="auto" w:sz="4" w:space="0"/>
              <w:left w:val="nil"/>
              <w:right w:val="single" w:color="auto" w:sz="4" w:space="0"/>
            </w:tcBorders>
            <w:shd w:val="clear" w:color="auto" w:fill="auto"/>
          </w:tcPr>
          <w:p>
            <w:pPr>
              <w:pStyle w:val="51"/>
            </w:pPr>
            <w:r>
              <w:t>Cluster1 RB allocations</w:t>
            </w:r>
          </w:p>
        </w:tc>
        <w:tc>
          <w:tcPr>
            <w:tcW w:w="1200" w:type="dxa"/>
            <w:tcBorders>
              <w:top w:val="single" w:color="auto" w:sz="4" w:space="0"/>
              <w:left w:val="nil"/>
              <w:right w:val="single" w:color="auto" w:sz="4" w:space="0"/>
            </w:tcBorders>
            <w:shd w:val="clear" w:color="auto" w:fill="auto"/>
          </w:tcPr>
          <w:p>
            <w:pPr>
              <w:pStyle w:val="51"/>
            </w:pPr>
            <w:r>
              <w:t>Cluster2 RB allocations</w:t>
            </w:r>
          </w:p>
        </w:tc>
      </w:tr>
      <w:tr>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183"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583"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157"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c>
          <w:tcPr>
            <w:tcW w:w="1200" w:type="dxa"/>
            <w:tcBorders>
              <w:top w:val="nil"/>
              <w:left w:val="nil"/>
              <w:bottom w:val="single" w:color="auto" w:sz="4" w:space="0"/>
              <w:right w:val="single" w:color="auto" w:sz="4" w:space="0"/>
            </w:tcBorders>
            <w:shd w:val="clear" w:color="auto" w:fill="auto"/>
          </w:tcPr>
          <w:p>
            <w:pPr>
              <w:pStyle w:val="51"/>
            </w:pPr>
            <w:r>
              <w:t>(L</w:t>
            </w:r>
            <w:r>
              <w:rPr>
                <w:vertAlign w:val="subscript"/>
              </w:rPr>
              <w:t>CRB</w:t>
            </w:r>
            <w:r>
              <w:t xml:space="preserve"> @ RB</w:t>
            </w:r>
            <w:r>
              <w:rPr>
                <w:vertAlign w:val="subscript"/>
              </w:rPr>
              <w:t>start</w:t>
            </w:r>
            <w:r>
              <w:t>)</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25</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30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30@48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16@0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14@24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40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40@0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42@64</w:t>
            </w:r>
          </w:p>
        </w:tc>
        <w:tc>
          <w:tcPr>
            <w:tcW w:w="1157" w:type="dxa"/>
            <w:tcBorders>
              <w:top w:val="nil"/>
              <w:left w:val="nil"/>
              <w:bottom w:val="single" w:color="auto" w:sz="4" w:space="0"/>
              <w:right w:val="single" w:color="auto" w:sz="4" w:space="0"/>
            </w:tcBorders>
            <w:shd w:val="clear" w:color="auto" w:fill="auto"/>
            <w:noWrap/>
          </w:tcPr>
          <w:p>
            <w:pPr>
              <w:pStyle w:val="52"/>
            </w:pPr>
            <w:r>
              <w:rPr>
                <w:rFonts w:cs="Arial"/>
                <w:color w:val="000000"/>
                <w:szCs w:val="18"/>
              </w:rPr>
              <w:t>N/A</w:t>
            </w:r>
          </w:p>
        </w:tc>
        <w:tc>
          <w:tcPr>
            <w:tcW w:w="1200" w:type="dxa"/>
            <w:tcBorders>
              <w:top w:val="nil"/>
              <w:left w:val="nil"/>
              <w:bottom w:val="single" w:color="auto" w:sz="4" w:space="0"/>
              <w:right w:val="single" w:color="auto" w:sz="4" w:space="0"/>
            </w:tcBorders>
            <w:shd w:val="clear" w:color="auto" w:fill="auto"/>
            <w:noWrap/>
          </w:tcPr>
          <w:p>
            <w:pPr>
              <w:pStyle w:val="52"/>
            </w:pPr>
            <w:r>
              <w:rPr>
                <w:rFonts w:cs="Arial"/>
                <w:color w:val="000000"/>
                <w:szCs w:val="18"/>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8@28</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50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24@72</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12@36</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60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right w:val="single" w:color="auto" w:sz="4" w:space="0"/>
            </w:tcBorders>
            <w:vAlign w:val="center"/>
          </w:tcPr>
          <w:p>
            <w:pPr>
              <w:pStyle w:val="52"/>
            </w:pPr>
            <w:r>
              <w:rPr>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15</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N/A</w:t>
            </w:r>
          </w:p>
        </w:tc>
      </w:tr>
      <w:tr>
        <w:trPr>
          <w:trHeight w:val="270" w:hRule="atLeast"/>
          <w:jc w:val="center"/>
        </w:trPr>
        <w:tc>
          <w:tcPr>
            <w:tcW w:w="1868" w:type="dxa"/>
            <w:vMerge w:val="continue"/>
            <w:tcBorders>
              <w:left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30</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16@80</w:t>
            </w:r>
          </w:p>
        </w:tc>
      </w:tr>
      <w:tr>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rPr>
                <w:lang w:eastAsia="zh-CN"/>
              </w:rPr>
              <w:t>60</w:t>
            </w:r>
          </w:p>
        </w:tc>
        <w:tc>
          <w:tcPr>
            <w:tcW w:w="746" w:type="dxa"/>
            <w:tcBorders>
              <w:top w:val="nil"/>
              <w:left w:val="nil"/>
              <w:bottom w:val="single" w:color="auto" w:sz="4" w:space="0"/>
              <w:right w:val="single" w:color="auto" w:sz="4" w:space="0"/>
            </w:tcBorders>
            <w:shd w:val="clear" w:color="auto" w:fill="auto"/>
          </w:tcPr>
          <w:p>
            <w:pPr>
              <w:pStyle w:val="52"/>
            </w:pPr>
            <w:r>
              <w:rPr>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rPr>
            </w:pPr>
            <w:r>
              <w:rPr>
                <w:rFonts w:cs="Arial"/>
                <w:color w:val="000000"/>
                <w:szCs w:val="18"/>
                <w:lang w:eastAsia="zh-CN"/>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80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90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100</w:t>
            </w:r>
          </w:p>
        </w:tc>
        <w:tc>
          <w:tcPr>
            <w:tcW w:w="1027" w:type="dxa"/>
            <w:tcBorders>
              <w:top w:val="nil"/>
              <w:left w:val="nil"/>
              <w:bottom w:val="single" w:color="auto" w:sz="4" w:space="0"/>
              <w:right w:val="single" w:color="auto" w:sz="4" w:space="0"/>
            </w:tcBorders>
            <w:shd w:val="clear" w:color="auto" w:fill="auto"/>
            <w:vAlign w:val="center"/>
          </w:tcPr>
          <w:p>
            <w:pPr>
              <w:pStyle w:val="52"/>
            </w:pPr>
            <w:r>
              <w:t>15</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583" w:type="dxa"/>
            <w:tcBorders>
              <w:top w:val="nil"/>
              <w:left w:val="nil"/>
              <w:bottom w:val="single" w:color="auto" w:sz="4" w:space="0"/>
              <w:right w:val="single" w:color="auto" w:sz="4" w:space="0"/>
            </w:tcBorders>
            <w:shd w:val="clear" w:color="auto" w:fill="auto"/>
            <w:noWrap/>
            <w:vAlign w:val="center"/>
          </w:tcPr>
          <w:p>
            <w:pPr>
              <w:pStyle w:val="52"/>
            </w:pPr>
            <w:r>
              <w:t>N/A</w:t>
            </w:r>
          </w:p>
        </w:tc>
        <w:tc>
          <w:tcPr>
            <w:tcW w:w="1157" w:type="dxa"/>
            <w:tcBorders>
              <w:top w:val="nil"/>
              <w:left w:val="nil"/>
              <w:bottom w:val="single" w:color="auto" w:sz="4" w:space="0"/>
              <w:right w:val="single" w:color="auto" w:sz="4" w:space="0"/>
            </w:tcBorders>
            <w:shd w:val="clear" w:color="auto" w:fill="auto"/>
            <w:noWrap/>
            <w:vAlign w:val="center"/>
          </w:tcPr>
          <w:p>
            <w:pPr>
              <w:pStyle w:val="52"/>
            </w:pPr>
            <w:r>
              <w:t>N/A</w:t>
            </w:r>
          </w:p>
        </w:tc>
        <w:tc>
          <w:tcPr>
            <w:tcW w:w="1200" w:type="dxa"/>
            <w:tcBorders>
              <w:top w:val="nil"/>
              <w:left w:val="nil"/>
              <w:bottom w:val="single" w:color="auto" w:sz="4" w:space="0"/>
              <w:right w:val="single" w:color="auto" w:sz="4" w:space="0"/>
            </w:tcBorders>
            <w:shd w:val="clear" w:color="auto" w:fill="auto"/>
            <w:noWrap/>
            <w:vAlign w:val="center"/>
          </w:tcPr>
          <w:p>
            <w:pPr>
              <w:pStyle w:val="52"/>
            </w:pPr>
            <w: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30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pPr>
          </w:p>
        </w:tc>
        <w:tc>
          <w:tcPr>
            <w:tcW w:w="1027" w:type="dxa"/>
            <w:tcBorders>
              <w:top w:val="nil"/>
              <w:left w:val="nil"/>
              <w:bottom w:val="single" w:color="auto" w:sz="4" w:space="0"/>
              <w:right w:val="single" w:color="auto" w:sz="4" w:space="0"/>
            </w:tcBorders>
            <w:shd w:val="clear" w:color="auto" w:fill="auto"/>
            <w:vAlign w:val="center"/>
          </w:tcPr>
          <w:p>
            <w:pPr>
              <w:pStyle w:val="52"/>
            </w:pPr>
            <w:r>
              <w:t>60</w:t>
            </w:r>
          </w:p>
        </w:tc>
        <w:tc>
          <w:tcPr>
            <w:tcW w:w="746" w:type="dxa"/>
            <w:tcBorders>
              <w:top w:val="nil"/>
              <w:left w:val="nil"/>
              <w:bottom w:val="single" w:color="auto" w:sz="4" w:space="0"/>
              <w:right w:val="single" w:color="auto" w:sz="4" w:space="0"/>
            </w:tcBorders>
            <w:shd w:val="clear" w:color="auto" w:fill="auto"/>
          </w:tcPr>
          <w:p>
            <w:pPr>
              <w:pStyle w:val="52"/>
            </w:pPr>
            <w:r>
              <w:t>CP</w:t>
            </w:r>
          </w:p>
        </w:tc>
        <w:tc>
          <w:tcPr>
            <w:tcW w:w="11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pPr>
            <w:r>
              <w:rPr>
                <w:rFonts w:cs="Arial"/>
                <w:color w:val="000000"/>
                <w:szCs w:val="18"/>
              </w:rPr>
              <w:t>24@72</w:t>
            </w:r>
          </w:p>
        </w:tc>
      </w:tr>
    </w:tbl>
    <w:p/>
    <w:p>
      <w:pPr>
        <w:pStyle w:val="75"/>
      </w:pPr>
      <w:r>
        <w:t>1.</w:t>
      </w:r>
      <w:r>
        <w:tab/>
      </w:r>
      <w:r>
        <w:t>Connect the SS to the UE antenna connectors as shown in TS 38.508-1 [5] Annex A, Figure A.3.1.1.1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5"/>
      </w:pPr>
      <w:r>
        <w:t>4.</w:t>
      </w:r>
      <w:r>
        <w:tab/>
      </w:r>
      <w:r>
        <w:t>The UL Reference Measurement channels are set according to Table 6.5.2.2.4.1-1.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6.5.2.2.4.3</w:t>
      </w:r>
      <w:ins w:id="52" w:author="Yu SHI-China Unicom" w:date="2021-11-09T15:47:31Z">
        <w:r>
          <w:rPr/>
          <w:t>.</w:t>
        </w:r>
      </w:ins>
    </w:p>
    <w:p>
      <w:pPr>
        <w:pStyle w:val="8"/>
      </w:pPr>
      <w:r>
        <w:t>6.5.2.2.4.2</w:t>
      </w:r>
      <w:r>
        <w:tab/>
      </w:r>
      <w:r>
        <w:t>Test procedure</w:t>
      </w:r>
    </w:p>
    <w:p>
      <w:pPr>
        <w:pStyle w:val="75"/>
      </w:pPr>
      <w:r>
        <w:t>1.</w:t>
      </w:r>
      <w:r>
        <w:tab/>
      </w:r>
      <w:r>
        <w:t>SS sends uplink scheduling information for each UL HARQ process via PDCCH DCI format 0_1 for C_RNTI to schedule the UL RMC according to Table 6.5.2.2.4.1-1,</w:t>
      </w:r>
      <w:del w:id="53" w:author="Yu SHI-China Unicom" w:date="2021-11-09T15:48:05Z">
        <w:r>
          <w:rPr/>
          <w:delText>,</w:delText>
        </w:r>
      </w:del>
      <w:r>
        <w:t xml:space="preserve"> Table 6.5.2.2.4.1-2, Table 6.5.2.2.4.1-2a and Table 6.5.2.2.4.1-3. Since the UL has no payload and no loopback data to send the UE sends uplink MAC padding bits on the UL RMC.</w:t>
      </w:r>
    </w:p>
    <w:p>
      <w:pPr>
        <w:pStyle w:val="75"/>
      </w:pPr>
      <w:r>
        <w:t>2.</w:t>
      </w:r>
      <w:r>
        <w:tab/>
      </w:r>
      <w:r>
        <w:t>Send continuously power control “up” commands to the UE until the UE transmits at P</w:t>
      </w:r>
      <w:r>
        <w:rPr>
          <w:vertAlign w:val="subscript"/>
          <w:rPrChange w:id="54" w:author="Yu SHI-China Unicom" w:date="2021-11-09T15:47:47Z">
            <w:rPr/>
          </w:rPrChange>
        </w:rPr>
        <w:t xml:space="preserve">UMAX </w:t>
      </w:r>
      <w:r>
        <w:t>level. Allow at least 200ms for the UE to reach P</w:t>
      </w:r>
      <w:r>
        <w:t>UMAX</w:t>
      </w:r>
      <w:r>
        <w:t xml:space="preserve"> level.</w:t>
      </w:r>
    </w:p>
    <w:p>
      <w:pPr>
        <w:pStyle w:val="75"/>
      </w:pPr>
      <w:r>
        <w:t>3.</w:t>
      </w:r>
      <w:r>
        <w:tab/>
      </w:r>
      <w:r>
        <w:t>Measure the mean power of the UE in the channel bandwidth of the radio access mode according to the test configuration, which shall meet the requirements described in Table</w:t>
      </w:r>
      <w:r>
        <w:t xml:space="preserve"> 6.2.</w:t>
      </w:r>
      <w:r>
        <w:rPr>
          <w:rFonts w:eastAsia="宋体"/>
          <w:lang w:eastAsia="zh-CN"/>
        </w:rPr>
        <w:t>2</w:t>
      </w:r>
      <w:r>
        <w:t xml:space="preserve">.5-1 </w:t>
      </w:r>
      <w:r>
        <w:rPr>
          <w:rFonts w:eastAsia="宋体"/>
          <w:lang w:eastAsia="zh-CN"/>
        </w:rPr>
        <w:t>to</w:t>
      </w:r>
      <w:r>
        <w:t xml:space="preserve"> 6.2.2.5-</w:t>
      </w:r>
      <w:r>
        <w:rPr>
          <w:rFonts w:eastAsia="宋体"/>
          <w:lang w:eastAsia="zh-CN"/>
        </w:rPr>
        <w:t>9</w:t>
      </w:r>
      <w:r>
        <w:t>. The period of the measurement shall be at least the continuous duration of 1ms over consecutive active uplink slots. For TDD, only slots consisting of only UL symbols are under test.</w:t>
      </w:r>
    </w:p>
    <w:p>
      <w:pPr>
        <w:pStyle w:val="75"/>
      </w:pPr>
      <w:r>
        <w:t>4.</w:t>
      </w:r>
      <w:r>
        <w:tab/>
      </w:r>
      <w:r>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pPr>
        <w:pStyle w:val="56"/>
      </w:pPr>
      <w:r>
        <w:t>NOTE 1: When switching to DFT-s-OFDM waveform, as specified in the test configuration table 6.5.2.2.4.1-1, table 6.5.2.2.4.1-2, and table 6.5.2.2.4.1-2a, send an NR RRCReconfiguration message according to TS 38.508-1 [5] clause 4.6.3 Table 4.6.3-118 PUSCH-Config with TRANSFORM_PRECODER_ENABLED condition.</w:t>
      </w:r>
    </w:p>
    <w:p>
      <w:pPr>
        <w:pStyle w:val="8"/>
      </w:pPr>
      <w:r>
        <w:t>6.5.2.2.4.3</w:t>
      </w:r>
      <w:r>
        <w:tab/>
      </w:r>
      <w:r>
        <w:t>Message contents</w:t>
      </w:r>
    </w:p>
    <w:p>
      <w:r>
        <w:t>Message contents are according to TS 38.508-1 [5] subclause 4.6 with the following exceptions:</w:t>
      </w:r>
    </w:p>
    <w:p>
      <w:pPr>
        <w:pStyle w:val="55"/>
      </w:pPr>
      <w:bookmarkStart w:id="179" w:name="_Toc44324163"/>
      <w:bookmarkStart w:id="180" w:name="_Toc36226878"/>
      <w:bookmarkStart w:id="181" w:name="_Toc52990357"/>
      <w:bookmarkStart w:id="182" w:name="_Toc27478166"/>
      <w:r>
        <w:t xml:space="preserve">Table 6.5.2.2.4.3-1: </w:t>
      </w:r>
      <w:r>
        <w:rPr>
          <w:i/>
        </w:rPr>
        <w:t>P</w:t>
      </w:r>
      <w:r>
        <w:rPr>
          <w:i/>
          <w:iCs/>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c>
          <w:tcPr>
            <w:tcW w:w="9635" w:type="dxa"/>
            <w:gridSpan w:val="4"/>
          </w:tcPr>
          <w:p>
            <w:pPr>
              <w:pStyle w:val="53"/>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 xml:space="preserve">PUSCH-Config ::=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nil"/>
            </w:tcBorders>
          </w:tcPr>
          <w:p>
            <w:pPr>
              <w:pStyle w:val="53"/>
            </w:pPr>
            <w:r>
              <w:t xml:space="preserve">  resourceAllocation</w:t>
            </w:r>
          </w:p>
        </w:tc>
        <w:tc>
          <w:tcPr>
            <w:tcW w:w="2267" w:type="dxa"/>
          </w:tcPr>
          <w:p>
            <w:pPr>
              <w:pStyle w:val="53"/>
              <w:rPr>
                <w:lang w:eastAsia="zh-CN"/>
              </w:rPr>
            </w:pPr>
            <w:r>
              <w:t>resourceAllocationType</w:t>
            </w:r>
            <w:r>
              <w:rPr>
                <w:lang w:eastAsia="zh-CN"/>
              </w:rPr>
              <w:t>0</w:t>
            </w:r>
          </w:p>
        </w:tc>
        <w:tc>
          <w:tcPr>
            <w:tcW w:w="1700" w:type="dxa"/>
          </w:tcPr>
          <w:p>
            <w:pPr>
              <w:pStyle w:val="53"/>
            </w:pPr>
          </w:p>
        </w:tc>
        <w:tc>
          <w:tcPr>
            <w:tcW w:w="1133" w:type="dxa"/>
          </w:tcPr>
          <w:p>
            <w:pPr>
              <w:pStyle w:val="53"/>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tcBorders>
          </w:tcPr>
          <w:p>
            <w:pPr>
              <w:pStyle w:val="53"/>
            </w:pPr>
          </w:p>
        </w:tc>
        <w:tc>
          <w:tcPr>
            <w:tcW w:w="2267" w:type="dxa"/>
          </w:tcPr>
          <w:p>
            <w:pPr>
              <w:pStyle w:val="53"/>
            </w:pPr>
            <w:r>
              <w:t>resourceAllocationType</w:t>
            </w:r>
            <w:r>
              <w:rPr>
                <w:lang w:eastAsia="zh-CN"/>
              </w:rPr>
              <w:t>1</w:t>
            </w:r>
          </w:p>
        </w:tc>
        <w:tc>
          <w:tcPr>
            <w:tcW w:w="1700" w:type="dxa"/>
          </w:tcPr>
          <w:p>
            <w:pPr>
              <w:pStyle w:val="53"/>
            </w:pPr>
          </w:p>
        </w:tc>
        <w:tc>
          <w:tcPr>
            <w:tcW w:w="1133" w:type="dxa"/>
          </w:tcPr>
          <w:p>
            <w:pPr>
              <w:pStyle w:val="53"/>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rPr>
          <w:i/>
          <w:iCs/>
        </w:rPr>
      </w:pPr>
      <w:r>
        <w:t>Table 6.5.2.2.4.3-2: DMRS-UplinkConfig (</w:t>
      </w:r>
      <w:r>
        <w:rPr>
          <w:lang w:eastAsia="zh-CN"/>
        </w:rPr>
        <w:t xml:space="preserve">Test ID 28 – 30 in </w:t>
      </w:r>
      <w:r>
        <w:t>Table 6.5.2.2.4.1-1)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pPr>
            <w:r>
              <w:t xml:space="preserve">DMRS-UplinkConfig ::= </w:t>
            </w:r>
            <w:r>
              <w:rPr>
                <w:snapToGrid w:val="0"/>
              </w:rPr>
              <w:t xml:space="preserve">SEQUENCE </w:t>
            </w:r>
            <w:r>
              <w:t>{</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transformPrecodingEnabled SEQUENCE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 xml:space="preserve">dmrs-UplinkTransformPrecoding-r16 </w:t>
            </w:r>
            <w:r>
              <w:rPr>
                <w:lang w:eastAsia="zh-CN"/>
              </w:rPr>
              <w:t xml:space="preserve">SEQUENCE  </w:t>
            </w:r>
            <w:r>
              <w:t>{</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pi2BPSK-ScramblingID0</w:t>
            </w:r>
          </w:p>
        </w:tc>
        <w:tc>
          <w:tcPr>
            <w:tcW w:w="2268" w:type="dxa"/>
          </w:tcPr>
          <w:p>
            <w:pPr>
              <w:pStyle w:val="53"/>
              <w:rPr>
                <w:lang w:eastAsia="zh-CN"/>
              </w:rPr>
            </w:pPr>
            <w:r>
              <w:rPr>
                <w:lang w:eastAsia="zh-CN"/>
              </w:rPr>
              <w:t>Not present</w:t>
            </w: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r>
              <w:t>pi2BPSK-ScramblingID1</w:t>
            </w:r>
          </w:p>
        </w:tc>
        <w:tc>
          <w:tcPr>
            <w:tcW w:w="2268" w:type="dxa"/>
          </w:tcPr>
          <w:p>
            <w:pPr>
              <w:pStyle w:val="53"/>
            </w:pPr>
            <w:r>
              <w:rPr>
                <w:lang w:eastAsia="zh-CN"/>
              </w:rPr>
              <w:t>Not present</w:t>
            </w: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 xml:space="preserve">  }</w:t>
            </w:r>
          </w:p>
        </w:tc>
        <w:tc>
          <w:tcPr>
            <w:tcW w:w="2268" w:type="dxa"/>
          </w:tcPr>
          <w:p>
            <w:pPr>
              <w:pStyle w:val="53"/>
            </w:pPr>
          </w:p>
        </w:tc>
        <w:tc>
          <w:tcPr>
            <w:tcW w:w="2582"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lang w:eastAsia="zh-CN"/>
              </w:rPr>
            </w:pPr>
            <w:r>
              <w:rPr>
                <w:lang w:eastAsia="zh-CN"/>
              </w:rPr>
              <w:t>}</w:t>
            </w:r>
          </w:p>
        </w:tc>
        <w:tc>
          <w:tcPr>
            <w:tcW w:w="2268" w:type="dxa"/>
          </w:tcPr>
          <w:p>
            <w:pPr>
              <w:pStyle w:val="53"/>
            </w:pPr>
          </w:p>
        </w:tc>
        <w:tc>
          <w:tcPr>
            <w:tcW w:w="2582" w:type="dxa"/>
          </w:tcPr>
          <w:p>
            <w:pPr>
              <w:pStyle w:val="53"/>
            </w:pPr>
          </w:p>
        </w:tc>
        <w:tc>
          <w:tcPr>
            <w:tcW w:w="1245" w:type="dxa"/>
          </w:tcPr>
          <w:p>
            <w:pPr>
              <w:pStyle w:val="53"/>
            </w:pPr>
          </w:p>
        </w:tc>
      </w:tr>
    </w:tbl>
    <w:p/>
    <w:p>
      <w:pPr>
        <w:pStyle w:val="8"/>
      </w:pPr>
      <w:bookmarkStart w:id="183" w:name="_Toc60823556"/>
      <w:bookmarkStart w:id="184" w:name="_Toc60825478"/>
      <w:r>
        <w:t>6.5.2.2.5</w:t>
      </w:r>
      <w:r>
        <w:tab/>
      </w:r>
      <w:r>
        <w:t>Test requirement</w:t>
      </w:r>
      <w:bookmarkEnd w:id="179"/>
      <w:bookmarkEnd w:id="180"/>
      <w:bookmarkEnd w:id="181"/>
      <w:bookmarkEnd w:id="182"/>
      <w:bookmarkEnd w:id="183"/>
      <w:bookmarkEnd w:id="184"/>
    </w:p>
    <w:p>
      <w:pPr>
        <w:rPr>
          <w:lang w:eastAsia="ja-JP"/>
        </w:rPr>
      </w:pPr>
      <w:r>
        <w:t xml:space="preserve">The measured UE mean power in the channel bandwidth, derived in step 3, shall fulfil requirements in Tables </w:t>
      </w:r>
      <w:bookmarkStart w:id="185" w:name="_Hlk506586519"/>
      <w:r>
        <w:rPr>
          <w:lang w:eastAsia="ja-JP"/>
        </w:rPr>
        <w:t>6.2.</w:t>
      </w:r>
      <w:r>
        <w:rPr>
          <w:rFonts w:eastAsia="宋体"/>
          <w:lang w:eastAsia="zh-CN"/>
        </w:rPr>
        <w:t>2</w:t>
      </w:r>
      <w:r>
        <w:rPr>
          <w:lang w:eastAsia="ja-JP"/>
        </w:rPr>
        <w:t xml:space="preserve">.5-1 </w:t>
      </w:r>
      <w:r>
        <w:rPr>
          <w:rFonts w:eastAsia="宋体"/>
          <w:lang w:eastAsia="zh-CN"/>
        </w:rPr>
        <w:t>to</w:t>
      </w:r>
      <w:r>
        <w:rPr>
          <w:lang w:eastAsia="ja-JP"/>
        </w:rPr>
        <w:t xml:space="preserve"> </w:t>
      </w:r>
      <w:r>
        <w:t>6.2.2.5-</w:t>
      </w:r>
      <w:bookmarkEnd w:id="185"/>
      <w:r>
        <w:rPr>
          <w:rFonts w:eastAsia="宋体"/>
          <w:lang w:eastAsia="zh-CN"/>
        </w:rPr>
        <w:t>9</w:t>
      </w:r>
      <w:r>
        <w:t xml:space="preserve"> as appropriate, and the power of any UE emission shall</w:t>
      </w:r>
      <w:r>
        <w:rPr>
          <w:lang w:eastAsia="ja-JP"/>
        </w:rPr>
        <w:t xml:space="preserve"> fulfil requirements in </w:t>
      </w:r>
      <w:r>
        <w:t>Table</w:t>
      </w:r>
      <w:r>
        <w:rPr>
          <w:lang w:eastAsia="ja-JP"/>
        </w:rPr>
        <w:t xml:space="preserve"> 6.5.2.2.5-1.</w:t>
      </w:r>
    </w:p>
    <w:p>
      <w:pPr>
        <w:pStyle w:val="55"/>
      </w:pPr>
      <w:r>
        <w:t>Table 6.5.2.2.5-1: General NR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728" w:type="dxa"/>
            <w:gridSpan w:val="15"/>
            <w:tcMar>
              <w:top w:w="0" w:type="dxa"/>
              <w:left w:w="108" w:type="dxa"/>
              <w:bottom w:w="0" w:type="dxa"/>
              <w:right w:w="108" w:type="dxa"/>
            </w:tcMar>
            <w:vAlign w:val="center"/>
          </w:tcPr>
          <w:p>
            <w:pPr>
              <w:pStyle w:val="51"/>
            </w:pPr>
            <w:r>
              <w:rPr>
                <w:lang w:eastAsia="zh-CN"/>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98" w:type="dxa"/>
            <w:tcMar>
              <w:top w:w="0" w:type="dxa"/>
              <w:left w:w="108" w:type="dxa"/>
              <w:bottom w:w="0" w:type="dxa"/>
              <w:right w:w="108" w:type="dxa"/>
            </w:tcMar>
          </w:tcPr>
          <w:p>
            <w:pPr>
              <w:pStyle w:val="51"/>
            </w:pPr>
            <w:r>
              <w:t>Δf</w:t>
            </w:r>
            <w:r>
              <w:rPr>
                <w:vertAlign w:val="subscript"/>
              </w:rPr>
              <w:t>OOB</w:t>
            </w:r>
          </w:p>
          <w:p>
            <w:pPr>
              <w:pStyle w:val="51"/>
            </w:pPr>
            <w:r>
              <w:t>(MHz)</w:t>
            </w:r>
          </w:p>
        </w:tc>
        <w:tc>
          <w:tcPr>
            <w:tcW w:w="630" w:type="dxa"/>
            <w:tcMar>
              <w:top w:w="0" w:type="dxa"/>
              <w:left w:w="108" w:type="dxa"/>
              <w:bottom w:w="0" w:type="dxa"/>
              <w:right w:w="108" w:type="dxa"/>
            </w:tcMar>
            <w:vAlign w:val="center"/>
          </w:tcPr>
          <w:p>
            <w:pPr>
              <w:pStyle w:val="51"/>
            </w:pPr>
            <w:r>
              <w:t>5</w:t>
            </w:r>
          </w:p>
          <w:p>
            <w:pPr>
              <w:pStyle w:val="51"/>
            </w:pPr>
            <w:r>
              <w:t>MHz</w:t>
            </w:r>
          </w:p>
        </w:tc>
        <w:tc>
          <w:tcPr>
            <w:tcW w:w="630" w:type="dxa"/>
            <w:tcMar>
              <w:top w:w="0" w:type="dxa"/>
              <w:left w:w="108" w:type="dxa"/>
              <w:bottom w:w="0" w:type="dxa"/>
              <w:right w:w="108" w:type="dxa"/>
            </w:tcMar>
            <w:vAlign w:val="center"/>
          </w:tcPr>
          <w:p>
            <w:pPr>
              <w:pStyle w:val="51"/>
            </w:pPr>
            <w:r>
              <w:t>10</w:t>
            </w:r>
          </w:p>
          <w:p>
            <w:pPr>
              <w:pStyle w:val="51"/>
            </w:pPr>
            <w:r>
              <w:t>MHz</w:t>
            </w:r>
          </w:p>
        </w:tc>
        <w:tc>
          <w:tcPr>
            <w:tcW w:w="630" w:type="dxa"/>
            <w:tcMar>
              <w:top w:w="0" w:type="dxa"/>
              <w:left w:w="108" w:type="dxa"/>
              <w:bottom w:w="0" w:type="dxa"/>
              <w:right w:w="108" w:type="dxa"/>
            </w:tcMar>
            <w:vAlign w:val="center"/>
          </w:tcPr>
          <w:p>
            <w:pPr>
              <w:pStyle w:val="51"/>
            </w:pPr>
            <w:r>
              <w:t>15</w:t>
            </w:r>
          </w:p>
          <w:p>
            <w:pPr>
              <w:pStyle w:val="51"/>
            </w:pPr>
            <w:r>
              <w:t>MHz</w:t>
            </w:r>
          </w:p>
        </w:tc>
        <w:tc>
          <w:tcPr>
            <w:tcW w:w="630" w:type="dxa"/>
            <w:tcMar>
              <w:top w:w="0" w:type="dxa"/>
              <w:left w:w="108" w:type="dxa"/>
              <w:bottom w:w="0" w:type="dxa"/>
              <w:right w:w="108" w:type="dxa"/>
            </w:tcMar>
            <w:vAlign w:val="center"/>
          </w:tcPr>
          <w:p>
            <w:pPr>
              <w:pStyle w:val="51"/>
            </w:pPr>
            <w:r>
              <w:t>20</w:t>
            </w:r>
          </w:p>
          <w:p>
            <w:pPr>
              <w:pStyle w:val="51"/>
            </w:pPr>
            <w:r>
              <w:t>MHz</w:t>
            </w:r>
          </w:p>
        </w:tc>
        <w:tc>
          <w:tcPr>
            <w:tcW w:w="630" w:type="dxa"/>
            <w:vAlign w:val="center"/>
          </w:tcPr>
          <w:p>
            <w:pPr>
              <w:pStyle w:val="51"/>
            </w:pPr>
            <w:r>
              <w:t>25</w:t>
            </w:r>
          </w:p>
          <w:p>
            <w:pPr>
              <w:pStyle w:val="51"/>
            </w:pPr>
            <w:r>
              <w:t>MHz</w:t>
            </w:r>
          </w:p>
        </w:tc>
        <w:tc>
          <w:tcPr>
            <w:tcW w:w="630" w:type="dxa"/>
            <w:vAlign w:val="center"/>
          </w:tcPr>
          <w:p>
            <w:pPr>
              <w:pStyle w:val="51"/>
            </w:pPr>
            <w:r>
              <w:t>30 MHz</w:t>
            </w:r>
          </w:p>
        </w:tc>
        <w:tc>
          <w:tcPr>
            <w:tcW w:w="630" w:type="dxa"/>
            <w:vAlign w:val="center"/>
          </w:tcPr>
          <w:p>
            <w:pPr>
              <w:pStyle w:val="51"/>
            </w:pPr>
            <w:r>
              <w:t>40</w:t>
            </w:r>
          </w:p>
          <w:p>
            <w:pPr>
              <w:pStyle w:val="51"/>
            </w:pPr>
            <w:r>
              <w:t>MHz</w:t>
            </w:r>
          </w:p>
        </w:tc>
        <w:tc>
          <w:tcPr>
            <w:tcW w:w="630" w:type="dxa"/>
            <w:tcMar>
              <w:top w:w="0" w:type="dxa"/>
              <w:left w:w="108" w:type="dxa"/>
              <w:bottom w:w="0" w:type="dxa"/>
              <w:right w:w="108" w:type="dxa"/>
            </w:tcMar>
            <w:vAlign w:val="center"/>
          </w:tcPr>
          <w:p>
            <w:pPr>
              <w:pStyle w:val="51"/>
            </w:pPr>
            <w:r>
              <w:t>50</w:t>
            </w:r>
          </w:p>
          <w:p>
            <w:pPr>
              <w:pStyle w:val="51"/>
            </w:pPr>
            <w:r>
              <w:t>MHz</w:t>
            </w:r>
          </w:p>
        </w:tc>
        <w:tc>
          <w:tcPr>
            <w:tcW w:w="630" w:type="dxa"/>
            <w:vAlign w:val="center"/>
          </w:tcPr>
          <w:p>
            <w:pPr>
              <w:pStyle w:val="51"/>
            </w:pPr>
            <w:r>
              <w:t>60</w:t>
            </w:r>
          </w:p>
          <w:p>
            <w:pPr>
              <w:pStyle w:val="51"/>
            </w:pPr>
            <w:r>
              <w:t>MHz</w:t>
            </w:r>
          </w:p>
        </w:tc>
        <w:tc>
          <w:tcPr>
            <w:tcW w:w="630" w:type="dxa"/>
          </w:tcPr>
          <w:p>
            <w:pPr>
              <w:pStyle w:val="51"/>
              <w:rPr>
                <w:lang w:eastAsia="zh-CN"/>
              </w:rPr>
            </w:pPr>
            <w:r>
              <w:rPr>
                <w:lang w:eastAsia="zh-CN"/>
              </w:rPr>
              <w:t>70</w:t>
            </w:r>
          </w:p>
          <w:p>
            <w:pPr>
              <w:pStyle w:val="51"/>
              <w:rPr>
                <w:lang w:eastAsia="zh-CN"/>
              </w:rPr>
            </w:pPr>
            <w:r>
              <w:rPr>
                <w:lang w:eastAsia="zh-CN"/>
              </w:rPr>
              <w:t>MHz</w:t>
            </w:r>
          </w:p>
        </w:tc>
        <w:tc>
          <w:tcPr>
            <w:tcW w:w="630" w:type="dxa"/>
            <w:vAlign w:val="center"/>
          </w:tcPr>
          <w:p>
            <w:pPr>
              <w:pStyle w:val="51"/>
            </w:pPr>
            <w:r>
              <w:t>80</w:t>
            </w:r>
          </w:p>
          <w:p>
            <w:pPr>
              <w:pStyle w:val="51"/>
            </w:pPr>
            <w:r>
              <w:t>MHz</w:t>
            </w:r>
          </w:p>
        </w:tc>
        <w:tc>
          <w:tcPr>
            <w:tcW w:w="630" w:type="dxa"/>
          </w:tcPr>
          <w:p>
            <w:pPr>
              <w:pStyle w:val="51"/>
            </w:pPr>
            <w:r>
              <w:t>90</w:t>
            </w:r>
          </w:p>
          <w:p>
            <w:pPr>
              <w:pStyle w:val="51"/>
            </w:pPr>
            <w:r>
              <w:t>MHz</w:t>
            </w:r>
          </w:p>
        </w:tc>
        <w:tc>
          <w:tcPr>
            <w:tcW w:w="630" w:type="dxa"/>
            <w:tcMar>
              <w:top w:w="0" w:type="dxa"/>
              <w:left w:w="108" w:type="dxa"/>
              <w:bottom w:w="0" w:type="dxa"/>
              <w:right w:w="108" w:type="dxa"/>
            </w:tcMar>
            <w:vAlign w:val="center"/>
          </w:tcPr>
          <w:p>
            <w:pPr>
              <w:pStyle w:val="51"/>
            </w:pPr>
            <w:r>
              <w:t>100</w:t>
            </w:r>
          </w:p>
          <w:p>
            <w:pPr>
              <w:pStyle w:val="51"/>
            </w:pPr>
            <w:r>
              <w:t>MHz</w:t>
            </w:r>
          </w:p>
        </w:tc>
        <w:tc>
          <w:tcPr>
            <w:tcW w:w="1440" w:type="dxa"/>
            <w:tcMar>
              <w:top w:w="0" w:type="dxa"/>
              <w:left w:w="108" w:type="dxa"/>
              <w:bottom w:w="0" w:type="dxa"/>
              <w:right w:w="108" w:type="dxa"/>
            </w:tcMa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vAlign w:val="center"/>
          </w:tcPr>
          <w:p>
            <w:pPr>
              <w:pStyle w:val="52"/>
            </w:pPr>
            <w:r>
              <w:t>± 0-1</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p>
        </w:tc>
        <w:tc>
          <w:tcPr>
            <w:tcW w:w="1440" w:type="dxa"/>
            <w:tcMar>
              <w:top w:w="0" w:type="dxa"/>
              <w:left w:w="108" w:type="dxa"/>
              <w:bottom w:w="0" w:type="dxa"/>
              <w:right w:w="108" w:type="dxa"/>
            </w:tcMar>
          </w:tcPr>
          <w:p>
            <w:pPr>
              <w:pStyle w:val="52"/>
            </w:pPr>
            <w: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0-1</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-24 + TT</w:t>
            </w:r>
          </w:p>
        </w:tc>
        <w:tc>
          <w:tcPr>
            <w:tcW w:w="630" w:type="dxa"/>
            <w:vAlign w:val="center"/>
          </w:tcPr>
          <w:p>
            <w:pPr>
              <w:pStyle w:val="52"/>
            </w:pPr>
            <w:r>
              <w:t>-24 + TT</w:t>
            </w:r>
          </w:p>
        </w:tc>
        <w:tc>
          <w:tcPr>
            <w:tcW w:w="630" w:type="dxa"/>
          </w:tcPr>
          <w:p>
            <w:pPr>
              <w:pStyle w:val="52"/>
            </w:pPr>
            <w:r>
              <w:t>-24 + TT</w:t>
            </w:r>
          </w:p>
        </w:tc>
        <w:tc>
          <w:tcPr>
            <w:tcW w:w="630" w:type="dxa"/>
            <w:vAlign w:val="center"/>
          </w:tcPr>
          <w:p>
            <w:pPr>
              <w:pStyle w:val="52"/>
            </w:pPr>
            <w:r>
              <w:t>-24 + TT</w:t>
            </w:r>
          </w:p>
        </w:tc>
        <w:tc>
          <w:tcPr>
            <w:tcW w:w="630" w:type="dxa"/>
          </w:tcPr>
          <w:p>
            <w:pPr>
              <w:pStyle w:val="52"/>
            </w:pPr>
            <w:r>
              <w:t>-24 + TT</w:t>
            </w:r>
          </w:p>
        </w:tc>
        <w:tc>
          <w:tcPr>
            <w:tcW w:w="630" w:type="dxa"/>
            <w:tcMar>
              <w:top w:w="0" w:type="dxa"/>
              <w:left w:w="108" w:type="dxa"/>
              <w:bottom w:w="0" w:type="dxa"/>
              <w:right w:w="108" w:type="dxa"/>
            </w:tcMar>
            <w:vAlign w:val="center"/>
          </w:tcPr>
          <w:p>
            <w:pPr>
              <w:pStyle w:val="52"/>
            </w:pPr>
            <w:r>
              <w:t>-24 + TT</w:t>
            </w:r>
          </w:p>
        </w:tc>
        <w:tc>
          <w:tcPr>
            <w:tcW w:w="1440" w:type="dxa"/>
            <w:tcMar>
              <w:top w:w="0" w:type="dxa"/>
              <w:left w:w="108" w:type="dxa"/>
              <w:bottom w:w="0" w:type="dxa"/>
              <w:right w:w="108" w:type="dxa"/>
            </w:tcMar>
          </w:tcPr>
          <w:p>
            <w:pPr>
              <w:pStyle w:val="52"/>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tcBorders>
              <w:bottom w:val="single" w:color="auto" w:sz="4" w:space="0"/>
            </w:tcBorders>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tcMar>
              <w:top w:w="0" w:type="dxa"/>
              <w:left w:w="108" w:type="dxa"/>
              <w:bottom w:w="0" w:type="dxa"/>
              <w:right w:w="108" w:type="dxa"/>
            </w:tcMar>
            <w:vAlign w:val="center"/>
          </w:tcPr>
          <w:p>
            <w:pPr>
              <w:pStyle w:val="52"/>
            </w:pPr>
            <w:r>
              <w:t>-10 + TT</w:t>
            </w:r>
          </w:p>
        </w:tc>
        <w:tc>
          <w:tcPr>
            <w:tcW w:w="1440" w:type="dxa"/>
            <w:vMerge w:val="restart"/>
            <w:tcMar>
              <w:top w:w="0" w:type="dxa"/>
              <w:left w:w="108" w:type="dxa"/>
              <w:bottom w:w="0" w:type="dxa"/>
              <w:right w:w="108" w:type="dxa"/>
            </w:tcMar>
            <w:vAlign w:val="center"/>
          </w:tcPr>
          <w:p>
            <w:pPr>
              <w:pStyle w:val="52"/>
              <w:rPr>
                <w:rFonts w:eastAsia="Yu Mincho"/>
              </w:rPr>
            </w:pPr>
            <w:r>
              <w:rPr>
                <w:rFonts w:eastAsia="Yu Minch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5-6</w:t>
            </w:r>
          </w:p>
        </w:tc>
        <w:tc>
          <w:tcPr>
            <w:tcW w:w="630" w:type="dxa"/>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6-10</w:t>
            </w: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10-15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15-20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20-25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25-30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30-35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35-40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40-45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45-50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50-55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55-60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60-65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65-70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70-75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75-80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80-85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85-90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90-95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95-100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pPr>
            <w:r>
              <w:t>± 100-105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r>
              <w:t>-25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28" w:type="dxa"/>
            <w:gridSpan w:val="15"/>
          </w:tcPr>
          <w:p>
            <w:pPr>
              <w:pStyle w:val="66"/>
            </w:pPr>
            <w:r>
              <w:t>Note 1:</w:t>
            </w:r>
            <w:r>
              <w:tab/>
            </w:r>
            <w:r>
              <w:t>The first and last measurement position with a 30 kHz filter is at Δf</w:t>
            </w:r>
            <w:r>
              <w:rPr>
                <w:vertAlign w:val="subscript"/>
              </w:rPr>
              <w:t>OOB</w:t>
            </w:r>
            <w:r>
              <w:t xml:space="preserve"> equals to 0.015 MHz and 0.985 MHz.</w:t>
            </w:r>
          </w:p>
          <w:p>
            <w:pPr>
              <w:pStyle w:val="66"/>
            </w:pPr>
            <w:r>
              <w:t>Note 2:</w:t>
            </w:r>
            <w:r>
              <w:tab/>
            </w:r>
            <w:r>
              <w:t>At the boundary of spectrum emission limit, the first and last measurement position with a 1 MHz filter is the inside of +0.5MHz and -0.5MHz, respectively.</w:t>
            </w:r>
          </w:p>
          <w:p>
            <w:pPr>
              <w:pStyle w:val="66"/>
            </w:pPr>
            <w:r>
              <w:t>Note 3:</w:t>
            </w:r>
            <w:r>
              <w:tab/>
            </w:r>
            <w:r>
              <w:t>The measurements are to be performed above the upper edge of the channel and below the lower edge of the channel.</w:t>
            </w:r>
          </w:p>
          <w:p>
            <w:pPr>
              <w:pStyle w:val="66"/>
              <w:rPr>
                <w:rFonts w:eastAsia="Yu Mincho" w:cs="Arial"/>
                <w:szCs w:val="18"/>
              </w:rPr>
            </w:pPr>
            <w:r>
              <w:t>Note 4:</w:t>
            </w:r>
            <w:r>
              <w:tab/>
            </w:r>
            <w:r>
              <w:t>TT for each frequency and channel bandwidth is specified in Table 6.5.2.2.5-2.</w:t>
            </w:r>
          </w:p>
        </w:tc>
      </w:tr>
    </w:tbl>
    <w:p/>
    <w:p>
      <w:pPr>
        <w:pStyle w:val="55"/>
      </w:pPr>
      <w:r>
        <w:t>Table 6.5.2.2.5-2: Test Tolerance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5"/>
        <w:rPr>
          <w:ins w:id="55" w:author="Yu SHI-China Unicom" w:date="2021-11-09T16:33:53Z"/>
        </w:rPr>
      </w:pPr>
      <w:bookmarkStart w:id="186" w:name="_Toc83720743"/>
      <w:bookmarkStart w:id="187" w:name="_Toc60825479"/>
      <w:bookmarkStart w:id="188" w:name="_Toc69309937"/>
      <w:bookmarkStart w:id="189" w:name="_Toc60823557"/>
      <w:bookmarkStart w:id="190" w:name="_Toc76020260"/>
      <w:bookmarkStart w:id="191" w:name="_Toc69306272"/>
      <w:bookmarkStart w:id="192" w:name="_Toc52990358"/>
      <w:bookmarkStart w:id="193" w:name="_Toc44324164"/>
      <w:bookmarkStart w:id="194" w:name="_Toc36226879"/>
      <w:bookmarkStart w:id="195" w:name="_Toc27478167"/>
      <w:r>
        <w:t>6.5.2.3</w:t>
      </w:r>
      <w:r>
        <w:tab/>
      </w:r>
      <w:r>
        <w:t>Additional spectrum emission mask</w:t>
      </w:r>
      <w:bookmarkEnd w:id="186"/>
      <w:bookmarkEnd w:id="187"/>
      <w:bookmarkEnd w:id="188"/>
      <w:bookmarkEnd w:id="189"/>
      <w:bookmarkEnd w:id="190"/>
      <w:bookmarkEnd w:id="191"/>
      <w:bookmarkEnd w:id="192"/>
      <w:bookmarkEnd w:id="193"/>
      <w:bookmarkEnd w:id="194"/>
      <w:bookmarkEnd w:id="195"/>
    </w:p>
    <w:p>
      <w:pPr>
        <w:pStyle w:val="74"/>
        <w:rPr>
          <w:ins w:id="56" w:author="Yu SHI-China Unicom" w:date="2021-11-09T16:34:28Z"/>
          <w:lang w:eastAsia="zh-CN"/>
        </w:rPr>
      </w:pPr>
      <w:ins w:id="57" w:author="Yu SHI-China Unicom" w:date="2021-11-09T16:34:28Z">
        <w:r>
          <w:rPr>
            <w:lang w:eastAsia="zh-CN"/>
          </w:rPr>
          <w:t>Editor’s Note: The following aspects are either missing or not yet determined:</w:t>
        </w:r>
      </w:ins>
    </w:p>
    <w:p>
      <w:pPr>
        <w:pStyle w:val="74"/>
      </w:pPr>
      <w:ins w:id="58" w:author="Yu SHI-China Unicom" w:date="2021-11-09T16:34:28Z">
        <w:r>
          <w:rPr/>
          <w:t xml:space="preserve">- </w:t>
        </w:r>
      </w:ins>
      <w:ins w:id="59" w:author="Yu SHI-China Unicom" w:date="2021-11-09T16:34:40Z">
        <w:r>
          <w:rPr>
            <w:rFonts w:hint="eastAsia"/>
            <w:lang w:val="en-US" w:eastAsia="zh-Hans"/>
          </w:rPr>
          <w:t>NS_07</w:t>
        </w:r>
      </w:ins>
      <w:ins w:id="60" w:author="Yu SHI-China Unicom" w:date="2021-11-09T16:34:41Z">
        <w:r>
          <w:rPr>
            <w:rFonts w:hint="default"/>
            <w:lang w:eastAsia="zh-Hans"/>
          </w:rPr>
          <w:t xml:space="preserve"> </w:t>
        </w:r>
      </w:ins>
      <w:ins w:id="61" w:author="Yu SHI-China Unicom" w:date="2021-11-09T16:34:43Z">
        <w:r>
          <w:rPr>
            <w:rFonts w:hint="eastAsia"/>
            <w:lang w:val="en-US" w:eastAsia="zh-Hans"/>
          </w:rPr>
          <w:t>test</w:t>
        </w:r>
      </w:ins>
      <w:ins w:id="62" w:author="Yu SHI-China Unicom" w:date="2021-11-09T16:34:28Z">
        <w:r>
          <w:rPr/>
          <w:t xml:space="preserve"> </w:t>
        </w:r>
      </w:ins>
      <w:ins w:id="63" w:author="Yu SHI-China Unicom" w:date="2021-11-09T16:34:28Z">
        <w:r>
          <w:rPr>
            <w:sz w:val="21"/>
            <w:szCs w:val="22"/>
            <w:lang w:eastAsia="zh-CN"/>
          </w:rPr>
          <w:t>requirements</w:t>
        </w:r>
      </w:ins>
      <w:ins w:id="64" w:author="Yu SHI-China Unicom" w:date="2021-11-09T16:35:22Z">
        <w:r>
          <w:rPr>
            <w:sz w:val="21"/>
            <w:szCs w:val="22"/>
            <w:lang w:eastAsia="zh-CN"/>
          </w:rPr>
          <w:t xml:space="preserve"> </w:t>
        </w:r>
      </w:ins>
      <w:ins w:id="65" w:author="Yu SHI-China Unicom" w:date="2021-11-09T16:35:23Z">
        <w:r>
          <w:rPr>
            <w:sz w:val="21"/>
            <w:szCs w:val="22"/>
            <w:lang w:eastAsia="zh-CN"/>
          </w:rPr>
          <w:t>i</w:t>
        </w:r>
      </w:ins>
      <w:ins w:id="66" w:author="Yu SHI-China Unicom" w:date="2021-11-09T16:35:24Z">
        <w:r>
          <w:rPr>
            <w:sz w:val="21"/>
            <w:szCs w:val="22"/>
            <w:lang w:eastAsia="zh-CN"/>
          </w:rPr>
          <w:t xml:space="preserve">s </w:t>
        </w:r>
      </w:ins>
      <w:ins w:id="67" w:author="Yu SHI-China Unicom" w:date="2021-11-09T16:35:25Z">
        <w:r>
          <w:rPr>
            <w:sz w:val="21"/>
            <w:szCs w:val="22"/>
            <w:lang w:eastAsia="zh-CN"/>
          </w:rPr>
          <w:t>no</w:t>
        </w:r>
      </w:ins>
      <w:ins w:id="68" w:author="Yu SHI-China Unicom" w:date="2021-11-09T16:35:26Z">
        <w:r>
          <w:rPr>
            <w:sz w:val="21"/>
            <w:szCs w:val="22"/>
            <w:lang w:eastAsia="zh-CN"/>
          </w:rPr>
          <w:t>t c</w:t>
        </w:r>
      </w:ins>
      <w:ins w:id="69" w:author="Yu SHI-China Unicom" w:date="2021-11-09T16:35:27Z">
        <w:r>
          <w:rPr>
            <w:sz w:val="21"/>
            <w:szCs w:val="22"/>
            <w:lang w:eastAsia="zh-CN"/>
          </w:rPr>
          <w:t>ompl</w:t>
        </w:r>
      </w:ins>
      <w:ins w:id="70" w:author="Yu SHI-China Unicom" w:date="2021-11-09T16:35:28Z">
        <w:r>
          <w:rPr>
            <w:sz w:val="21"/>
            <w:szCs w:val="22"/>
            <w:lang w:eastAsia="zh-CN"/>
          </w:rPr>
          <w:t>ete</w:t>
        </w:r>
      </w:ins>
      <w:ins w:id="71" w:author="Yu SHI-China Unicom" w:date="2021-11-09T16:35:00Z">
        <w:r>
          <w:rPr/>
          <w:t>.</w:t>
        </w:r>
      </w:ins>
    </w:p>
    <w:p>
      <w:pPr>
        <w:pStyle w:val="8"/>
      </w:pPr>
      <w:bookmarkStart w:id="196" w:name="_Toc60825480"/>
      <w:bookmarkStart w:id="197" w:name="_Toc60823558"/>
      <w:bookmarkStart w:id="198" w:name="_Toc52990359"/>
      <w:bookmarkStart w:id="199" w:name="_Toc44324165"/>
      <w:bookmarkStart w:id="200" w:name="_Toc36226880"/>
      <w:bookmarkStart w:id="201" w:name="_Toc27478168"/>
      <w:r>
        <w:t>6.5.2.3.1</w:t>
      </w:r>
      <w:r>
        <w:tab/>
      </w:r>
      <w:r>
        <w:t>Test purpose</w:t>
      </w:r>
      <w:bookmarkEnd w:id="196"/>
      <w:bookmarkEnd w:id="197"/>
      <w:bookmarkEnd w:id="198"/>
      <w:bookmarkEnd w:id="199"/>
      <w:bookmarkEnd w:id="200"/>
      <w:bookmarkEnd w:id="201"/>
    </w:p>
    <w:p>
      <w:r>
        <w:t>To verify that the power of any UE emission shall not exceed specified level for the specified channel bandwidth under the deployment scenarios where additional requirements are specified.</w:t>
      </w:r>
    </w:p>
    <w:p>
      <w:pPr>
        <w:pStyle w:val="8"/>
      </w:pPr>
      <w:bookmarkStart w:id="202" w:name="_Toc60825481"/>
      <w:bookmarkStart w:id="203" w:name="_Toc52990360"/>
      <w:bookmarkStart w:id="204" w:name="_Toc60823559"/>
      <w:bookmarkStart w:id="205" w:name="_Toc44324166"/>
      <w:bookmarkStart w:id="206" w:name="_Toc36226881"/>
      <w:bookmarkStart w:id="207" w:name="_Toc27478169"/>
      <w:r>
        <w:t>6.5.2.3.2</w:t>
      </w:r>
      <w:r>
        <w:tab/>
      </w:r>
      <w:r>
        <w:t>Test applicability</w:t>
      </w:r>
      <w:bookmarkEnd w:id="202"/>
      <w:bookmarkEnd w:id="203"/>
      <w:bookmarkEnd w:id="204"/>
      <w:bookmarkEnd w:id="205"/>
      <w:bookmarkEnd w:id="206"/>
      <w:bookmarkEnd w:id="207"/>
    </w:p>
    <w:p>
      <w:r>
        <w:t xml:space="preserve">This test case applies to all </w:t>
      </w:r>
      <w:bookmarkStart w:id="208" w:name="_Hlk504021232"/>
      <w:r>
        <w:t>types of NR UE release 15 and forward.</w:t>
      </w:r>
      <w:bookmarkEnd w:id="208"/>
    </w:p>
    <w:p>
      <w:pPr>
        <w:pStyle w:val="8"/>
      </w:pPr>
      <w:bookmarkStart w:id="209" w:name="_Toc60825482"/>
      <w:bookmarkStart w:id="210" w:name="_Toc60823560"/>
      <w:bookmarkStart w:id="211" w:name="_Toc52990361"/>
      <w:bookmarkStart w:id="212" w:name="_Toc44324167"/>
      <w:bookmarkStart w:id="213" w:name="_Toc27478170"/>
      <w:bookmarkStart w:id="214" w:name="_Toc36226882"/>
      <w:r>
        <w:t>6.5.2.3.3</w:t>
      </w:r>
      <w:r>
        <w:tab/>
      </w:r>
      <w:r>
        <w:t>Minimum conformance requirements</w:t>
      </w:r>
      <w:bookmarkEnd w:id="209"/>
      <w:bookmarkEnd w:id="210"/>
      <w:bookmarkEnd w:id="211"/>
      <w:bookmarkEnd w:id="212"/>
      <w:bookmarkEnd w:id="213"/>
      <w:bookmarkEnd w:id="214"/>
    </w:p>
    <w:p>
      <w:pPr>
        <w:pStyle w:val="8"/>
      </w:pPr>
      <w:r>
        <w:t>6.5.2.3.3.1</w:t>
      </w:r>
      <w:r>
        <w:tab/>
      </w:r>
      <w:r>
        <w:t>Minimum requirement for "NS_35"</w:t>
      </w:r>
    </w:p>
    <w:p>
      <w:r>
        <w:t>Additional spectrum emission requirements are signalled by the network to indicate that the UE shall meet an additional requirement for a specific deployment scenario as part of the cell handover/broadcast message.</w:t>
      </w:r>
    </w:p>
    <w:p>
      <w:r>
        <w:t>When " NS_35" is indicated in the cell, the power of any UE emission shall not exceed the levels specified in Table 6.5.2.2.3.3.1-1.</w:t>
      </w:r>
    </w:p>
    <w:p>
      <w:pPr>
        <w:pStyle w:val="55"/>
      </w:pPr>
      <w:r>
        <w:t>Table 6.5.2.2.3.3.1-1: Additional requirements for “NS_35”</w:t>
      </w:r>
    </w:p>
    <w:tbl>
      <w:tblPr>
        <w:tblStyle w:val="47"/>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794" w:type="dxa"/>
            <w:gridSpan w:val="6"/>
          </w:tcPr>
          <w:p>
            <w:pPr>
              <w:pStyle w:val="51"/>
              <w:rPr>
                <w:rFonts w:cs="Arial"/>
              </w:rPr>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86" w:type="dxa"/>
          </w:tcPr>
          <w:p>
            <w:pPr>
              <w:pStyle w:val="51"/>
              <w:rPr>
                <w:rFonts w:cs="Arial"/>
              </w:rPr>
            </w:pPr>
            <w:r>
              <w:rPr>
                <w:rFonts w:cs="Arial"/>
              </w:rPr>
              <w:t>Δf</w:t>
            </w:r>
            <w:r>
              <w:rPr>
                <w:rFonts w:cs="Arial"/>
                <w:vertAlign w:val="subscript"/>
              </w:rPr>
              <w:t>OOB</w:t>
            </w:r>
          </w:p>
          <w:p>
            <w:pPr>
              <w:pStyle w:val="51"/>
              <w:rPr>
                <w:rFonts w:cs="Arial"/>
              </w:rPr>
            </w:pPr>
            <w:r>
              <w:rPr>
                <w:rFonts w:cs="Arial"/>
              </w:rPr>
              <w:t>(MHz)</w:t>
            </w:r>
          </w:p>
        </w:tc>
        <w:tc>
          <w:tcPr>
            <w:tcW w:w="850" w:type="dxa"/>
          </w:tcPr>
          <w:p>
            <w:pPr>
              <w:pStyle w:val="51"/>
              <w:rPr>
                <w:rFonts w:cs="Arial"/>
              </w:rPr>
            </w:pPr>
            <w:r>
              <w:rPr>
                <w:rFonts w:cs="Arial"/>
              </w:rPr>
              <w:t>5</w:t>
            </w:r>
          </w:p>
          <w:p>
            <w:pPr>
              <w:pStyle w:val="51"/>
              <w:rPr>
                <w:rFonts w:cs="Arial"/>
              </w:rPr>
            </w:pPr>
            <w:r>
              <w:rPr>
                <w:rFonts w:cs="Arial"/>
              </w:rPr>
              <w:t>MHz</w:t>
            </w:r>
          </w:p>
        </w:tc>
        <w:tc>
          <w:tcPr>
            <w:tcW w:w="851" w:type="dxa"/>
          </w:tcPr>
          <w:p>
            <w:pPr>
              <w:pStyle w:val="51"/>
              <w:rPr>
                <w:rFonts w:cs="Arial"/>
              </w:rPr>
            </w:pPr>
            <w:r>
              <w:rPr>
                <w:rFonts w:cs="Arial"/>
              </w:rPr>
              <w:t>10</w:t>
            </w:r>
          </w:p>
          <w:p>
            <w:pPr>
              <w:pStyle w:val="51"/>
              <w:rPr>
                <w:rFonts w:cs="Arial"/>
              </w:rPr>
            </w:pPr>
            <w:r>
              <w:rPr>
                <w:rFonts w:cs="Arial"/>
              </w:rPr>
              <w:t>MHz</w:t>
            </w:r>
          </w:p>
        </w:tc>
        <w:tc>
          <w:tcPr>
            <w:tcW w:w="757" w:type="dxa"/>
          </w:tcPr>
          <w:p>
            <w:pPr>
              <w:pStyle w:val="51"/>
              <w:rPr>
                <w:rFonts w:cs="Arial"/>
              </w:rPr>
            </w:pPr>
            <w:r>
              <w:rPr>
                <w:rFonts w:cs="Arial"/>
              </w:rPr>
              <w:t>15 MHz</w:t>
            </w:r>
          </w:p>
        </w:tc>
        <w:tc>
          <w:tcPr>
            <w:tcW w:w="810" w:type="dxa"/>
          </w:tcPr>
          <w:p>
            <w:pPr>
              <w:pStyle w:val="51"/>
              <w:rPr>
                <w:rFonts w:cs="Arial"/>
              </w:rPr>
            </w:pPr>
            <w:r>
              <w:rPr>
                <w:rFonts w:cs="Arial"/>
              </w:rPr>
              <w:t>20 MHz</w:t>
            </w:r>
          </w:p>
        </w:tc>
        <w:tc>
          <w:tcPr>
            <w:tcW w:w="1440" w:type="dxa"/>
          </w:tcPr>
          <w:p>
            <w:pPr>
              <w:pStyle w:val="51"/>
              <w:rPr>
                <w:rFonts w:cs="Arial"/>
              </w:rPr>
            </w:pPr>
            <w:r>
              <w:rPr>
                <w:rFonts w:cs="Arial"/>
              </w:rP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0-0.1</w:t>
            </w:r>
          </w:p>
        </w:tc>
        <w:tc>
          <w:tcPr>
            <w:tcW w:w="850" w:type="dxa"/>
          </w:tcPr>
          <w:p>
            <w:pPr>
              <w:pStyle w:val="52"/>
              <w:rPr>
                <w:rFonts w:cs="Arial"/>
              </w:rPr>
            </w:pPr>
            <w:r>
              <w:rPr>
                <w:rFonts w:cs="Arial"/>
              </w:rPr>
              <w:t xml:space="preserve">-15 </w:t>
            </w:r>
          </w:p>
        </w:tc>
        <w:tc>
          <w:tcPr>
            <w:tcW w:w="851" w:type="dxa"/>
          </w:tcPr>
          <w:p>
            <w:pPr>
              <w:pStyle w:val="52"/>
              <w:rPr>
                <w:rFonts w:cs="Arial"/>
              </w:rPr>
            </w:pPr>
            <w:r>
              <w:rPr>
                <w:rFonts w:cs="Arial"/>
              </w:rPr>
              <w:t xml:space="preserve">-18 </w:t>
            </w:r>
          </w:p>
        </w:tc>
        <w:tc>
          <w:tcPr>
            <w:tcW w:w="757" w:type="dxa"/>
          </w:tcPr>
          <w:p>
            <w:pPr>
              <w:pStyle w:val="52"/>
              <w:rPr>
                <w:rFonts w:cs="Arial"/>
              </w:rPr>
            </w:pPr>
            <w:r>
              <w:rPr>
                <w:rFonts w:cs="Arial"/>
              </w:rPr>
              <w:t>-20</w:t>
            </w:r>
          </w:p>
        </w:tc>
        <w:tc>
          <w:tcPr>
            <w:tcW w:w="810" w:type="dxa"/>
          </w:tcPr>
          <w:p>
            <w:pPr>
              <w:pStyle w:val="52"/>
              <w:rPr>
                <w:rFonts w:cs="Arial"/>
              </w:rPr>
            </w:pPr>
            <w:r>
              <w:rPr>
                <w:rFonts w:cs="Arial"/>
              </w:rPr>
              <w:t>-21</w:t>
            </w:r>
          </w:p>
        </w:tc>
        <w:tc>
          <w:tcPr>
            <w:tcW w:w="1440" w:type="dxa"/>
          </w:tcPr>
          <w:p>
            <w:pPr>
              <w:pStyle w:val="52"/>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0.1-6</w:t>
            </w:r>
          </w:p>
        </w:tc>
        <w:tc>
          <w:tcPr>
            <w:tcW w:w="850" w:type="dxa"/>
          </w:tcPr>
          <w:p>
            <w:pPr>
              <w:pStyle w:val="52"/>
              <w:rPr>
                <w:rFonts w:cs="Arial"/>
              </w:rPr>
            </w:pPr>
            <w:r>
              <w:rPr>
                <w:rFonts w:cs="Arial"/>
              </w:rPr>
              <w:t>-13</w:t>
            </w:r>
          </w:p>
        </w:tc>
        <w:tc>
          <w:tcPr>
            <w:tcW w:w="851" w:type="dxa"/>
          </w:tcPr>
          <w:p>
            <w:pPr>
              <w:pStyle w:val="52"/>
              <w:rPr>
                <w:rFonts w:cs="Arial"/>
              </w:rPr>
            </w:pPr>
            <w:r>
              <w:rPr>
                <w:rFonts w:cs="Arial"/>
              </w:rPr>
              <w:t>-13</w:t>
            </w:r>
          </w:p>
        </w:tc>
        <w:tc>
          <w:tcPr>
            <w:tcW w:w="757" w:type="dxa"/>
          </w:tcPr>
          <w:p>
            <w:pPr>
              <w:pStyle w:val="52"/>
              <w:rPr>
                <w:rFonts w:cs="Arial"/>
              </w:rPr>
            </w:pPr>
            <w:r>
              <w:rPr>
                <w:rFonts w:cs="Arial"/>
              </w:rPr>
              <w:t>-13</w:t>
            </w:r>
          </w:p>
        </w:tc>
        <w:tc>
          <w:tcPr>
            <w:tcW w:w="810" w:type="dxa"/>
          </w:tcPr>
          <w:p>
            <w:pPr>
              <w:pStyle w:val="52"/>
              <w:rPr>
                <w:rFonts w:cs="Arial"/>
              </w:rPr>
            </w:pPr>
            <w:r>
              <w:rPr>
                <w:rFonts w:cs="Arial"/>
              </w:rPr>
              <w:t>-13</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6-10</w:t>
            </w:r>
          </w:p>
        </w:tc>
        <w:tc>
          <w:tcPr>
            <w:tcW w:w="850" w:type="dxa"/>
          </w:tcPr>
          <w:p>
            <w:pPr>
              <w:pStyle w:val="52"/>
              <w:rPr>
                <w:rFonts w:cs="Arial"/>
              </w:rPr>
            </w:pPr>
            <w:r>
              <w:rPr>
                <w:rFonts w:cs="Arial"/>
              </w:rPr>
              <w:t>-25</w:t>
            </w:r>
            <w:r>
              <w:rPr>
                <w:rFonts w:cs="Arial"/>
                <w:vertAlign w:val="superscript"/>
              </w:rPr>
              <w:t>1</w:t>
            </w:r>
            <w:r>
              <w:rPr>
                <w:rFonts w:cs="Arial"/>
              </w:rPr>
              <w:t xml:space="preserve"> </w:t>
            </w:r>
          </w:p>
        </w:tc>
        <w:tc>
          <w:tcPr>
            <w:tcW w:w="851" w:type="dxa"/>
          </w:tcPr>
          <w:p>
            <w:pPr>
              <w:pStyle w:val="52"/>
              <w:rPr>
                <w:rFonts w:cs="Arial"/>
              </w:rPr>
            </w:pPr>
            <w:r>
              <w:rPr>
                <w:rFonts w:cs="Arial"/>
              </w:rPr>
              <w:t>-13</w:t>
            </w:r>
          </w:p>
        </w:tc>
        <w:tc>
          <w:tcPr>
            <w:tcW w:w="757" w:type="dxa"/>
          </w:tcPr>
          <w:p>
            <w:pPr>
              <w:pStyle w:val="52"/>
              <w:rPr>
                <w:rFonts w:cs="Arial"/>
              </w:rPr>
            </w:pPr>
            <w:r>
              <w:rPr>
                <w:rFonts w:cs="Arial"/>
              </w:rPr>
              <w:t>-13</w:t>
            </w:r>
          </w:p>
        </w:tc>
        <w:tc>
          <w:tcPr>
            <w:tcW w:w="810" w:type="dxa"/>
          </w:tcPr>
          <w:p>
            <w:pPr>
              <w:pStyle w:val="52"/>
              <w:rPr>
                <w:rFonts w:cs="Arial"/>
              </w:rPr>
            </w:pPr>
            <w:r>
              <w:rPr>
                <w:rFonts w:cs="Arial"/>
              </w:rPr>
              <w:t>-13</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10-15</w:t>
            </w:r>
          </w:p>
        </w:tc>
        <w:tc>
          <w:tcPr>
            <w:tcW w:w="850" w:type="dxa"/>
          </w:tcPr>
          <w:p>
            <w:pPr>
              <w:pStyle w:val="52"/>
              <w:rPr>
                <w:rFonts w:cs="Arial"/>
              </w:rPr>
            </w:pPr>
          </w:p>
        </w:tc>
        <w:tc>
          <w:tcPr>
            <w:tcW w:w="851" w:type="dxa"/>
          </w:tcPr>
          <w:p>
            <w:pPr>
              <w:pStyle w:val="52"/>
              <w:rPr>
                <w:rFonts w:cs="Arial"/>
              </w:rPr>
            </w:pPr>
            <w:r>
              <w:rPr>
                <w:rFonts w:cs="Arial"/>
              </w:rPr>
              <w:t>-25</w:t>
            </w:r>
            <w:r>
              <w:rPr>
                <w:rFonts w:cs="Arial"/>
                <w:vertAlign w:val="superscript"/>
              </w:rPr>
              <w:t>1</w:t>
            </w:r>
          </w:p>
        </w:tc>
        <w:tc>
          <w:tcPr>
            <w:tcW w:w="757" w:type="dxa"/>
          </w:tcPr>
          <w:p>
            <w:pPr>
              <w:pStyle w:val="52"/>
              <w:rPr>
                <w:rFonts w:cs="Arial"/>
              </w:rPr>
            </w:pPr>
            <w:r>
              <w:rPr>
                <w:rFonts w:cs="Arial"/>
              </w:rPr>
              <w:t>-13</w:t>
            </w:r>
          </w:p>
        </w:tc>
        <w:tc>
          <w:tcPr>
            <w:tcW w:w="810" w:type="dxa"/>
          </w:tcPr>
          <w:p>
            <w:pPr>
              <w:pStyle w:val="52"/>
              <w:rPr>
                <w:rFonts w:cs="Arial"/>
              </w:rPr>
            </w:pPr>
            <w:r>
              <w:rPr>
                <w:rFonts w:cs="Arial"/>
              </w:rPr>
              <w:t>-13</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15-20</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r>
              <w:rPr>
                <w:rFonts w:cs="Arial"/>
              </w:rPr>
              <w:t>-25</w:t>
            </w:r>
            <w:r>
              <w:rPr>
                <w:rFonts w:cs="Arial"/>
                <w:vertAlign w:val="superscript"/>
              </w:rPr>
              <w:t>1</w:t>
            </w:r>
            <w:r>
              <w:rPr>
                <w:rFonts w:cs="Arial"/>
              </w:rPr>
              <w:t xml:space="preserve"> </w:t>
            </w:r>
          </w:p>
        </w:tc>
        <w:tc>
          <w:tcPr>
            <w:tcW w:w="810" w:type="dxa"/>
          </w:tcPr>
          <w:p>
            <w:pPr>
              <w:pStyle w:val="52"/>
              <w:rPr>
                <w:rFonts w:cs="Arial"/>
              </w:rPr>
            </w:pPr>
            <w:r>
              <w:rPr>
                <w:rFonts w:cs="Arial"/>
              </w:rPr>
              <w:t xml:space="preserve">-13 </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20-25</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p>
        </w:tc>
        <w:tc>
          <w:tcPr>
            <w:tcW w:w="810" w:type="dxa"/>
          </w:tcPr>
          <w:p>
            <w:pPr>
              <w:pStyle w:val="52"/>
              <w:rPr>
                <w:rFonts w:cs="Arial"/>
              </w:rPr>
            </w:pPr>
            <w:r>
              <w:rPr>
                <w:rFonts w:cs="Arial"/>
              </w:rPr>
              <w:t xml:space="preserve">-25 </w:t>
            </w:r>
          </w:p>
        </w:tc>
        <w:tc>
          <w:tcPr>
            <w:tcW w:w="1440" w:type="dxa"/>
          </w:tcPr>
          <w:p>
            <w:pPr>
              <w:pStyle w:val="52"/>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94" w:type="dxa"/>
            <w:gridSpan w:val="6"/>
          </w:tcPr>
          <w:p>
            <w:pPr>
              <w:pStyle w:val="66"/>
            </w:pPr>
            <w:r>
              <w:t>NOTE 1:</w:t>
            </w:r>
            <w:r>
              <w:tab/>
            </w:r>
            <w:r>
              <w:t>The measurement bandwidth shall be 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 xml:space="preserve">The normative reference for this requirement is TS 38.101-1 [2] clause 6.5.2.3.1. </w:t>
      </w:r>
    </w:p>
    <w:p>
      <w:pPr>
        <w:pStyle w:val="8"/>
      </w:pPr>
      <w:r>
        <w:t>6.5.2.3.3.2</w:t>
      </w:r>
      <w:r>
        <w:tab/>
      </w:r>
      <w:r>
        <w:t>Requirements for network signalling value "NS_04"</w:t>
      </w:r>
    </w:p>
    <w:p>
      <w:r>
        <w:t>Additional spectrum emission requirements are signalled by the network to indicate that the UE shall meet an additional requirement for a specific deployment scenario as part of the cell handover/broadcast message.</w:t>
      </w:r>
    </w:p>
    <w:p>
      <w:r>
        <w:t>The n41 SEM transition point from -13 dBm/MHz to -25 dBm/MHz is based on the emission bandwidth. The emission bandwidth is defined as the width of the signal between two points, one below the carrier center frequency and one above the carrier c frequency, outside of which all emissions are attenuated at least 26 dB below the transmitter power. Since the 26-dB emission bandwidth is implementation dependent, the maximum transmission bandwidths in MHz (N</w:t>
      </w:r>
      <w:r>
        <w:rPr>
          <w:vertAlign w:val="subscript"/>
        </w:rPr>
        <w:t>RB</w:t>
      </w:r>
      <w:r>
        <w:t xml:space="preserve"> * SCS * 12 / 1,000,000) is used for the SEM.</w:t>
      </w:r>
    </w:p>
    <w:p>
      <w:pPr>
        <w:pStyle w:val="55"/>
      </w:pPr>
      <w:r>
        <w:t>Table 6.5.2.3.3.2-1: n41 maximum transmission bandwidths (MHz) for CP-OFDM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SCS (kHz)</w:t>
            </w:r>
          </w:p>
        </w:tc>
        <w:tc>
          <w:tcPr>
            <w:tcW w:w="5903" w:type="dxa"/>
            <w:gridSpan w:val="9"/>
            <w:tcBorders>
              <w:top w:val="single" w:color="auto" w:sz="4" w:space="0"/>
              <w:left w:val="single" w:color="auto" w:sz="4" w:space="0"/>
              <w:bottom w:val="single" w:color="auto" w:sz="4" w:space="0"/>
              <w:right w:val="single" w:color="auto" w:sz="4" w:space="0"/>
            </w:tcBorders>
          </w:tcPr>
          <w:p>
            <w:pPr>
              <w:pStyle w:val="51"/>
            </w:pPr>
            <w: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20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60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80</w:t>
            </w:r>
          </w:p>
        </w:tc>
        <w:tc>
          <w:tcPr>
            <w:tcW w:w="667" w:type="dxa"/>
            <w:tcBorders>
              <w:top w:val="single" w:color="auto" w:sz="4" w:space="0"/>
              <w:left w:val="single" w:color="auto" w:sz="4" w:space="0"/>
              <w:bottom w:val="single" w:color="auto" w:sz="4" w:space="0"/>
              <w:right w:val="single" w:color="auto" w:sz="4" w:space="0"/>
            </w:tcBorders>
          </w:tcPr>
          <w:p>
            <w:pPr>
              <w:pStyle w:val="51"/>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15</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19.08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18.36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58.32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78.12</w:t>
            </w:r>
          </w:p>
        </w:tc>
        <w:tc>
          <w:tcPr>
            <w:tcW w:w="667" w:type="dxa"/>
            <w:tcBorders>
              <w:top w:val="single" w:color="auto" w:sz="4" w:space="0"/>
              <w:left w:val="single" w:color="auto" w:sz="4" w:space="0"/>
              <w:bottom w:val="single" w:color="auto" w:sz="4" w:space="0"/>
              <w:right w:val="single" w:color="auto" w:sz="4" w:space="0"/>
            </w:tcBorders>
          </w:tcPr>
          <w:p>
            <w:pPr>
              <w:pStyle w:val="52"/>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60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17.28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56.88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77.04</w:t>
            </w:r>
          </w:p>
        </w:tc>
        <w:tc>
          <w:tcPr>
            <w:tcW w:w="667" w:type="dxa"/>
            <w:tcBorders>
              <w:top w:val="single" w:color="auto" w:sz="4" w:space="0"/>
              <w:left w:val="single" w:color="auto" w:sz="4" w:space="0"/>
              <w:bottom w:val="single" w:color="auto" w:sz="4" w:space="0"/>
              <w:right w:val="single" w:color="auto" w:sz="4" w:space="0"/>
            </w:tcBorders>
          </w:tcPr>
          <w:p>
            <w:pPr>
              <w:pStyle w:val="52"/>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97.20</w:t>
            </w:r>
          </w:p>
        </w:tc>
      </w:tr>
    </w:tbl>
    <w:p/>
    <w:p>
      <w:pPr>
        <w:pStyle w:val="55"/>
      </w:pPr>
      <w:r>
        <w:t>Table 6.5.2.3.3.2-2: n41 maximum transmission bandwidths (MHz) for DFT-S-OFDM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Mar>
              <w:top w:w="0" w:type="dxa"/>
              <w:left w:w="108" w:type="dxa"/>
              <w:bottom w:w="0" w:type="dxa"/>
              <w:right w:w="108" w:type="dxa"/>
            </w:tcMar>
          </w:tcPr>
          <w:p>
            <w:pPr>
              <w:pStyle w:val="51"/>
            </w:pPr>
            <w:r>
              <w:t>SCS (kHz)</w:t>
            </w:r>
          </w:p>
        </w:tc>
        <w:tc>
          <w:tcPr>
            <w:tcW w:w="5903" w:type="dxa"/>
            <w:gridSpan w:val="9"/>
          </w:tcPr>
          <w:p>
            <w:pPr>
              <w:pStyle w:val="51"/>
            </w:pPr>
            <w: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vAlign w:val="center"/>
          </w:tcPr>
          <w:p>
            <w:pPr>
              <w:pStyle w:val="51"/>
            </w:pPr>
          </w:p>
        </w:tc>
        <w:tc>
          <w:tcPr>
            <w:tcW w:w="567" w:type="dxa"/>
            <w:tcMar>
              <w:top w:w="0" w:type="dxa"/>
              <w:left w:w="108" w:type="dxa"/>
              <w:bottom w:w="0" w:type="dxa"/>
              <w:right w:w="108" w:type="dxa"/>
            </w:tcMar>
          </w:tcPr>
          <w:p>
            <w:pPr>
              <w:pStyle w:val="51"/>
            </w:pPr>
            <w:r>
              <w:t>10</w:t>
            </w:r>
          </w:p>
        </w:tc>
        <w:tc>
          <w:tcPr>
            <w:tcW w:w="667" w:type="dxa"/>
            <w:tcMar>
              <w:top w:w="0" w:type="dxa"/>
              <w:left w:w="108" w:type="dxa"/>
              <w:bottom w:w="0" w:type="dxa"/>
              <w:right w:w="108" w:type="dxa"/>
            </w:tcMar>
          </w:tcPr>
          <w:p>
            <w:pPr>
              <w:pStyle w:val="51"/>
            </w:pPr>
            <w:r>
              <w:t>15</w:t>
            </w:r>
          </w:p>
        </w:tc>
        <w:tc>
          <w:tcPr>
            <w:tcW w:w="667" w:type="dxa"/>
            <w:tcMar>
              <w:top w:w="0" w:type="dxa"/>
              <w:left w:w="108" w:type="dxa"/>
              <w:bottom w:w="0" w:type="dxa"/>
              <w:right w:w="108" w:type="dxa"/>
            </w:tcMar>
          </w:tcPr>
          <w:p>
            <w:pPr>
              <w:pStyle w:val="51"/>
            </w:pPr>
            <w:r>
              <w:t>20</w:t>
            </w:r>
          </w:p>
        </w:tc>
        <w:tc>
          <w:tcPr>
            <w:tcW w:w="667" w:type="dxa"/>
            <w:tcMar>
              <w:top w:w="0" w:type="dxa"/>
              <w:left w:w="108" w:type="dxa"/>
              <w:bottom w:w="0" w:type="dxa"/>
              <w:right w:w="108" w:type="dxa"/>
            </w:tcMar>
          </w:tcPr>
          <w:p>
            <w:pPr>
              <w:pStyle w:val="51"/>
            </w:pPr>
            <w:r>
              <w:t>40</w:t>
            </w:r>
          </w:p>
        </w:tc>
        <w:tc>
          <w:tcPr>
            <w:tcW w:w="667" w:type="dxa"/>
            <w:tcMar>
              <w:top w:w="0" w:type="dxa"/>
              <w:left w:w="108" w:type="dxa"/>
              <w:bottom w:w="0" w:type="dxa"/>
              <w:right w:w="108" w:type="dxa"/>
            </w:tcMar>
          </w:tcPr>
          <w:p>
            <w:pPr>
              <w:pStyle w:val="51"/>
            </w:pPr>
            <w:r>
              <w:t>50</w:t>
            </w:r>
          </w:p>
        </w:tc>
        <w:tc>
          <w:tcPr>
            <w:tcW w:w="667" w:type="dxa"/>
            <w:tcMar>
              <w:top w:w="0" w:type="dxa"/>
              <w:left w:w="108" w:type="dxa"/>
              <w:bottom w:w="0" w:type="dxa"/>
              <w:right w:w="108" w:type="dxa"/>
            </w:tcMar>
          </w:tcPr>
          <w:p>
            <w:pPr>
              <w:pStyle w:val="51"/>
            </w:pPr>
            <w:r>
              <w:t>60</w:t>
            </w:r>
          </w:p>
        </w:tc>
        <w:tc>
          <w:tcPr>
            <w:tcW w:w="667" w:type="dxa"/>
            <w:tcMar>
              <w:top w:w="0" w:type="dxa"/>
              <w:left w:w="108" w:type="dxa"/>
              <w:bottom w:w="0" w:type="dxa"/>
              <w:right w:w="108" w:type="dxa"/>
            </w:tcMar>
          </w:tcPr>
          <w:p>
            <w:pPr>
              <w:pStyle w:val="51"/>
            </w:pPr>
            <w:r>
              <w:t>80</w:t>
            </w:r>
          </w:p>
        </w:tc>
        <w:tc>
          <w:tcPr>
            <w:tcW w:w="667" w:type="dxa"/>
          </w:tcPr>
          <w:p>
            <w:pPr>
              <w:pStyle w:val="51"/>
            </w:pPr>
            <w:r>
              <w:t>90</w:t>
            </w:r>
          </w:p>
        </w:tc>
        <w:tc>
          <w:tcPr>
            <w:tcW w:w="667" w:type="dxa"/>
            <w:tcMar>
              <w:top w:w="0" w:type="dxa"/>
              <w:left w:w="108" w:type="dxa"/>
              <w:bottom w:w="0" w:type="dxa"/>
              <w:right w:w="108" w:type="dxa"/>
            </w:tcMar>
          </w:tcPr>
          <w:p>
            <w:pPr>
              <w:pStyle w:val="51"/>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pPr>
            <w:r>
              <w:t>15</w:t>
            </w:r>
          </w:p>
        </w:tc>
        <w:tc>
          <w:tcPr>
            <w:tcW w:w="567" w:type="dxa"/>
            <w:tcMar>
              <w:top w:w="0" w:type="dxa"/>
              <w:left w:w="108" w:type="dxa"/>
              <w:bottom w:w="0" w:type="dxa"/>
              <w:right w:w="108" w:type="dxa"/>
            </w:tcMar>
            <w:vAlign w:val="center"/>
          </w:tcPr>
          <w:p>
            <w:pPr>
              <w:pStyle w:val="52"/>
            </w:pPr>
            <w:r>
              <w:t>9.00</w:t>
            </w:r>
          </w:p>
        </w:tc>
        <w:tc>
          <w:tcPr>
            <w:tcW w:w="667" w:type="dxa"/>
            <w:tcMar>
              <w:top w:w="0" w:type="dxa"/>
              <w:left w:w="108" w:type="dxa"/>
              <w:bottom w:w="0" w:type="dxa"/>
              <w:right w:w="108" w:type="dxa"/>
            </w:tcMar>
            <w:vAlign w:val="center"/>
          </w:tcPr>
          <w:p>
            <w:pPr>
              <w:pStyle w:val="52"/>
            </w:pPr>
            <w:r>
              <w:t>13.50</w:t>
            </w:r>
          </w:p>
        </w:tc>
        <w:tc>
          <w:tcPr>
            <w:tcW w:w="667" w:type="dxa"/>
            <w:tcMar>
              <w:top w:w="0" w:type="dxa"/>
              <w:left w:w="108" w:type="dxa"/>
              <w:bottom w:w="0" w:type="dxa"/>
              <w:right w:w="108" w:type="dxa"/>
            </w:tcMar>
            <w:vAlign w:val="center"/>
          </w:tcPr>
          <w:p>
            <w:pPr>
              <w:pStyle w:val="52"/>
            </w:pPr>
            <w:r>
              <w:t>18.00</w:t>
            </w:r>
          </w:p>
        </w:tc>
        <w:tc>
          <w:tcPr>
            <w:tcW w:w="667" w:type="dxa"/>
            <w:tcMar>
              <w:top w:w="0" w:type="dxa"/>
              <w:left w:w="108" w:type="dxa"/>
              <w:bottom w:w="0" w:type="dxa"/>
              <w:right w:w="108" w:type="dxa"/>
            </w:tcMar>
            <w:vAlign w:val="center"/>
          </w:tcPr>
          <w:p>
            <w:pPr>
              <w:pStyle w:val="52"/>
            </w:pPr>
            <w:r>
              <w:t>38.88</w:t>
            </w:r>
          </w:p>
        </w:tc>
        <w:tc>
          <w:tcPr>
            <w:tcW w:w="667" w:type="dxa"/>
            <w:tcMar>
              <w:top w:w="0" w:type="dxa"/>
              <w:left w:w="108" w:type="dxa"/>
              <w:bottom w:w="0" w:type="dxa"/>
              <w:right w:w="108" w:type="dxa"/>
            </w:tcMar>
            <w:vAlign w:val="center"/>
          </w:tcPr>
          <w:p>
            <w:pPr>
              <w:pStyle w:val="52"/>
            </w:pPr>
            <w:r>
              <w:t>48.60</w:t>
            </w:r>
          </w:p>
        </w:tc>
        <w:tc>
          <w:tcPr>
            <w:tcW w:w="667" w:type="dxa"/>
            <w:tcMar>
              <w:top w:w="0" w:type="dxa"/>
              <w:left w:w="108" w:type="dxa"/>
              <w:bottom w:w="0" w:type="dxa"/>
              <w:right w:w="108" w:type="dxa"/>
            </w:tcMar>
            <w:vAlign w:val="center"/>
          </w:tcPr>
          <w:p>
            <w:pPr>
              <w:pStyle w:val="52"/>
            </w:pPr>
            <w:r>
              <w:t>N/A</w:t>
            </w:r>
          </w:p>
        </w:tc>
        <w:tc>
          <w:tcPr>
            <w:tcW w:w="667" w:type="dxa"/>
            <w:tcMar>
              <w:top w:w="0" w:type="dxa"/>
              <w:left w:w="108" w:type="dxa"/>
              <w:bottom w:w="0" w:type="dxa"/>
              <w:right w:w="108" w:type="dxa"/>
            </w:tcMar>
            <w:vAlign w:val="center"/>
          </w:tcPr>
          <w:p>
            <w:pPr>
              <w:pStyle w:val="52"/>
            </w:pPr>
            <w:r>
              <w:t>N/A</w:t>
            </w:r>
          </w:p>
        </w:tc>
        <w:tc>
          <w:tcPr>
            <w:tcW w:w="667" w:type="dxa"/>
          </w:tcPr>
          <w:p>
            <w:pPr>
              <w:pStyle w:val="52"/>
            </w:pPr>
            <w:r>
              <w:t>N/A</w:t>
            </w:r>
          </w:p>
        </w:tc>
        <w:tc>
          <w:tcPr>
            <w:tcW w:w="667" w:type="dxa"/>
            <w:tcMar>
              <w:top w:w="0" w:type="dxa"/>
              <w:left w:w="108" w:type="dxa"/>
              <w:bottom w:w="0" w:type="dxa"/>
              <w:right w:w="108" w:type="dxa"/>
            </w:tcMar>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pPr>
            <w:r>
              <w:t>30</w:t>
            </w:r>
          </w:p>
        </w:tc>
        <w:tc>
          <w:tcPr>
            <w:tcW w:w="567" w:type="dxa"/>
            <w:tcMar>
              <w:top w:w="0" w:type="dxa"/>
              <w:left w:w="108" w:type="dxa"/>
              <w:bottom w:w="0" w:type="dxa"/>
              <w:right w:w="108" w:type="dxa"/>
            </w:tcMar>
            <w:vAlign w:val="center"/>
          </w:tcPr>
          <w:p>
            <w:pPr>
              <w:pStyle w:val="52"/>
            </w:pPr>
            <w:r>
              <w:t>8.64</w:t>
            </w:r>
          </w:p>
        </w:tc>
        <w:tc>
          <w:tcPr>
            <w:tcW w:w="667" w:type="dxa"/>
            <w:tcMar>
              <w:top w:w="0" w:type="dxa"/>
              <w:left w:w="108" w:type="dxa"/>
              <w:bottom w:w="0" w:type="dxa"/>
              <w:right w:w="108" w:type="dxa"/>
            </w:tcMar>
            <w:vAlign w:val="center"/>
          </w:tcPr>
          <w:p>
            <w:pPr>
              <w:pStyle w:val="52"/>
            </w:pPr>
            <w:r>
              <w:t>12.96</w:t>
            </w:r>
          </w:p>
        </w:tc>
        <w:tc>
          <w:tcPr>
            <w:tcW w:w="667" w:type="dxa"/>
            <w:tcMar>
              <w:top w:w="0" w:type="dxa"/>
              <w:left w:w="108" w:type="dxa"/>
              <w:bottom w:w="0" w:type="dxa"/>
              <w:right w:w="108" w:type="dxa"/>
            </w:tcMar>
            <w:vAlign w:val="center"/>
          </w:tcPr>
          <w:p>
            <w:pPr>
              <w:pStyle w:val="52"/>
            </w:pPr>
            <w:r>
              <w:t>18.00</w:t>
            </w:r>
          </w:p>
        </w:tc>
        <w:tc>
          <w:tcPr>
            <w:tcW w:w="667" w:type="dxa"/>
            <w:tcMar>
              <w:top w:w="0" w:type="dxa"/>
              <w:left w:w="108" w:type="dxa"/>
              <w:bottom w:w="0" w:type="dxa"/>
              <w:right w:w="108" w:type="dxa"/>
            </w:tcMar>
            <w:vAlign w:val="center"/>
          </w:tcPr>
          <w:p>
            <w:pPr>
              <w:pStyle w:val="52"/>
            </w:pPr>
            <w:r>
              <w:t>36.00</w:t>
            </w:r>
          </w:p>
        </w:tc>
        <w:tc>
          <w:tcPr>
            <w:tcW w:w="667" w:type="dxa"/>
            <w:tcMar>
              <w:top w:w="0" w:type="dxa"/>
              <w:left w:w="108" w:type="dxa"/>
              <w:bottom w:w="0" w:type="dxa"/>
              <w:right w:w="108" w:type="dxa"/>
            </w:tcMar>
            <w:vAlign w:val="center"/>
          </w:tcPr>
          <w:p>
            <w:pPr>
              <w:pStyle w:val="52"/>
            </w:pPr>
            <w:r>
              <w:t>46.08</w:t>
            </w:r>
          </w:p>
        </w:tc>
        <w:tc>
          <w:tcPr>
            <w:tcW w:w="667" w:type="dxa"/>
            <w:tcMar>
              <w:top w:w="0" w:type="dxa"/>
              <w:left w:w="108" w:type="dxa"/>
              <w:bottom w:w="0" w:type="dxa"/>
              <w:right w:w="108" w:type="dxa"/>
            </w:tcMar>
            <w:vAlign w:val="center"/>
          </w:tcPr>
          <w:p>
            <w:pPr>
              <w:pStyle w:val="52"/>
            </w:pPr>
            <w:r>
              <w:t>58.32</w:t>
            </w:r>
          </w:p>
        </w:tc>
        <w:tc>
          <w:tcPr>
            <w:tcW w:w="667" w:type="dxa"/>
            <w:tcMar>
              <w:top w:w="0" w:type="dxa"/>
              <w:left w:w="108" w:type="dxa"/>
              <w:bottom w:w="0" w:type="dxa"/>
              <w:right w:w="108" w:type="dxa"/>
            </w:tcMar>
            <w:vAlign w:val="center"/>
          </w:tcPr>
          <w:p>
            <w:pPr>
              <w:pStyle w:val="52"/>
            </w:pPr>
            <w:r>
              <w:t>77.76</w:t>
            </w:r>
          </w:p>
        </w:tc>
        <w:tc>
          <w:tcPr>
            <w:tcW w:w="667" w:type="dxa"/>
          </w:tcPr>
          <w:p>
            <w:pPr>
              <w:pStyle w:val="52"/>
            </w:pPr>
            <w:r>
              <w:t>87.48</w:t>
            </w:r>
          </w:p>
        </w:tc>
        <w:tc>
          <w:tcPr>
            <w:tcW w:w="667" w:type="dxa"/>
            <w:tcMar>
              <w:top w:w="0" w:type="dxa"/>
              <w:left w:w="108" w:type="dxa"/>
              <w:bottom w:w="0" w:type="dxa"/>
              <w:right w:w="108" w:type="dxa"/>
            </w:tcMar>
            <w:vAlign w:val="center"/>
          </w:tcPr>
          <w:p>
            <w:pPr>
              <w:pStyle w:val="52"/>
            </w:pPr>
            <w: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pPr>
            <w:r>
              <w:t>60</w:t>
            </w:r>
          </w:p>
        </w:tc>
        <w:tc>
          <w:tcPr>
            <w:tcW w:w="567" w:type="dxa"/>
            <w:tcMar>
              <w:top w:w="0" w:type="dxa"/>
              <w:left w:w="108" w:type="dxa"/>
              <w:bottom w:w="0" w:type="dxa"/>
              <w:right w:w="108" w:type="dxa"/>
            </w:tcMar>
            <w:vAlign w:val="center"/>
          </w:tcPr>
          <w:p>
            <w:pPr>
              <w:pStyle w:val="52"/>
            </w:pPr>
            <w:r>
              <w:t>7.20</w:t>
            </w:r>
          </w:p>
        </w:tc>
        <w:tc>
          <w:tcPr>
            <w:tcW w:w="667" w:type="dxa"/>
            <w:tcMar>
              <w:top w:w="0" w:type="dxa"/>
              <w:left w:w="108" w:type="dxa"/>
              <w:bottom w:w="0" w:type="dxa"/>
              <w:right w:w="108" w:type="dxa"/>
            </w:tcMar>
            <w:vAlign w:val="center"/>
          </w:tcPr>
          <w:p>
            <w:pPr>
              <w:pStyle w:val="52"/>
            </w:pPr>
            <w:r>
              <w:t>12.96</w:t>
            </w:r>
          </w:p>
        </w:tc>
        <w:tc>
          <w:tcPr>
            <w:tcW w:w="667" w:type="dxa"/>
            <w:tcMar>
              <w:top w:w="0" w:type="dxa"/>
              <w:left w:w="108" w:type="dxa"/>
              <w:bottom w:w="0" w:type="dxa"/>
              <w:right w:w="108" w:type="dxa"/>
            </w:tcMar>
            <w:vAlign w:val="center"/>
          </w:tcPr>
          <w:p>
            <w:pPr>
              <w:pStyle w:val="52"/>
            </w:pPr>
            <w:r>
              <w:t>17.28</w:t>
            </w:r>
          </w:p>
        </w:tc>
        <w:tc>
          <w:tcPr>
            <w:tcW w:w="667" w:type="dxa"/>
            <w:tcMar>
              <w:top w:w="0" w:type="dxa"/>
              <w:left w:w="108" w:type="dxa"/>
              <w:bottom w:w="0" w:type="dxa"/>
              <w:right w:w="108" w:type="dxa"/>
            </w:tcMar>
            <w:vAlign w:val="center"/>
          </w:tcPr>
          <w:p>
            <w:pPr>
              <w:pStyle w:val="52"/>
            </w:pPr>
            <w:r>
              <w:t>36.00</w:t>
            </w:r>
          </w:p>
        </w:tc>
        <w:tc>
          <w:tcPr>
            <w:tcW w:w="667" w:type="dxa"/>
            <w:tcMar>
              <w:top w:w="0" w:type="dxa"/>
              <w:left w:w="108" w:type="dxa"/>
              <w:bottom w:w="0" w:type="dxa"/>
              <w:right w:w="108" w:type="dxa"/>
            </w:tcMar>
            <w:vAlign w:val="center"/>
          </w:tcPr>
          <w:p>
            <w:pPr>
              <w:pStyle w:val="52"/>
            </w:pPr>
            <w:r>
              <w:t>46.08</w:t>
            </w:r>
          </w:p>
        </w:tc>
        <w:tc>
          <w:tcPr>
            <w:tcW w:w="667" w:type="dxa"/>
            <w:tcMar>
              <w:top w:w="0" w:type="dxa"/>
              <w:left w:w="108" w:type="dxa"/>
              <w:bottom w:w="0" w:type="dxa"/>
              <w:right w:w="108" w:type="dxa"/>
            </w:tcMar>
            <w:vAlign w:val="center"/>
          </w:tcPr>
          <w:p>
            <w:pPr>
              <w:pStyle w:val="52"/>
            </w:pPr>
            <w:r>
              <w:t>54.00</w:t>
            </w:r>
          </w:p>
        </w:tc>
        <w:tc>
          <w:tcPr>
            <w:tcW w:w="667" w:type="dxa"/>
            <w:tcMar>
              <w:top w:w="0" w:type="dxa"/>
              <w:left w:w="108" w:type="dxa"/>
              <w:bottom w:w="0" w:type="dxa"/>
              <w:right w:w="108" w:type="dxa"/>
            </w:tcMar>
            <w:vAlign w:val="center"/>
          </w:tcPr>
          <w:p>
            <w:pPr>
              <w:pStyle w:val="52"/>
            </w:pPr>
            <w:r>
              <w:t>72.00</w:t>
            </w:r>
          </w:p>
        </w:tc>
        <w:tc>
          <w:tcPr>
            <w:tcW w:w="667" w:type="dxa"/>
          </w:tcPr>
          <w:p>
            <w:pPr>
              <w:pStyle w:val="52"/>
            </w:pPr>
            <w:r>
              <w:t>86.40</w:t>
            </w:r>
          </w:p>
        </w:tc>
        <w:tc>
          <w:tcPr>
            <w:tcW w:w="667" w:type="dxa"/>
            <w:tcMar>
              <w:top w:w="0" w:type="dxa"/>
              <w:left w:w="108" w:type="dxa"/>
              <w:bottom w:w="0" w:type="dxa"/>
              <w:right w:w="108" w:type="dxa"/>
            </w:tcMar>
            <w:vAlign w:val="center"/>
          </w:tcPr>
          <w:p>
            <w:pPr>
              <w:pStyle w:val="52"/>
            </w:pPr>
            <w:r>
              <w:t>97.20</w:t>
            </w:r>
          </w:p>
        </w:tc>
      </w:tr>
    </w:tbl>
    <w:p/>
    <w:p>
      <w:r>
        <w:t>When "NS_04" is indicated in the cell, the power of any UE emission shall not exceed the levels specified in Table 6.5.2.3.3.2-3.</w:t>
      </w:r>
    </w:p>
    <w:p>
      <w:pPr>
        <w:pStyle w:val="55"/>
      </w:pPr>
      <w:bookmarkStart w:id="215" w:name="_Hlk515649337"/>
      <w:r>
        <w:t>Table 6.5.2.3.3.2-3: n41 SEM with “NS_04”</w:t>
      </w:r>
    </w:p>
    <w:tbl>
      <w:tblPr>
        <w:tblStyle w:val="47"/>
        <w:tblW w:w="0" w:type="auto"/>
        <w:jc w:val="center"/>
        <w:tblLayout w:type="autofit"/>
        <w:tblCellMar>
          <w:top w:w="0" w:type="dxa"/>
          <w:left w:w="70" w:type="dxa"/>
          <w:bottom w:w="0" w:type="dxa"/>
          <w:right w:w="70" w:type="dxa"/>
        </w:tblCellMar>
      </w:tblPr>
      <w:tblGrid>
        <w:gridCol w:w="2143"/>
        <w:gridCol w:w="518"/>
        <w:gridCol w:w="510"/>
        <w:gridCol w:w="510"/>
        <w:gridCol w:w="510"/>
        <w:gridCol w:w="510"/>
        <w:gridCol w:w="510"/>
        <w:gridCol w:w="510"/>
        <w:gridCol w:w="510"/>
        <w:gridCol w:w="510"/>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pPr>
          </w:p>
        </w:tc>
        <w:tc>
          <w:tcPr>
            <w:tcW w:w="6600" w:type="dxa"/>
            <w:gridSpan w:val="10"/>
            <w:tcBorders>
              <w:top w:val="single" w:color="auto" w:sz="4" w:space="0"/>
              <w:left w:val="single" w:color="auto" w:sz="4" w:space="0"/>
              <w:bottom w:val="single" w:color="auto" w:sz="4" w:space="0"/>
              <w:right w:val="single" w:color="auto" w:sz="4" w:space="0"/>
            </w:tcBorders>
            <w:vAlign w:val="center"/>
          </w:tcPr>
          <w:p>
            <w:pPr>
              <w:pStyle w:val="51"/>
            </w:pPr>
            <w:r>
              <w:t xml:space="preserve">Spectrum emission limit (dBm) / measurement bandwidth </w:t>
            </w:r>
          </w:p>
          <w:p>
            <w:pPr>
              <w:pStyle w:val="51"/>
            </w:pPr>
            <w: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518" w:type="dxa"/>
            <w:tcBorders>
              <w:top w:val="single" w:color="auto" w:sz="4" w:space="0"/>
              <w:left w:val="nil"/>
              <w:bottom w:val="single" w:color="auto" w:sz="4" w:space="0"/>
              <w:right w:val="single" w:color="auto" w:sz="4" w:space="0"/>
            </w:tcBorders>
            <w:vAlign w:val="center"/>
          </w:tcPr>
          <w:p>
            <w:pPr>
              <w:pStyle w:val="51"/>
            </w:pPr>
            <w:r>
              <w:t xml:space="preserve">10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15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20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40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50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60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80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90 </w:t>
            </w:r>
            <w:r>
              <w:br w:type="textWrapping"/>
            </w: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 xml:space="preserve">100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Measurement</w:t>
            </w:r>
            <w:r>
              <w:br w:type="textWrapping"/>
            </w:r>
            <w: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r>
              <w:t>± 0 - 1</w:t>
            </w:r>
          </w:p>
        </w:tc>
        <w:tc>
          <w:tcPr>
            <w:tcW w:w="518" w:type="dxa"/>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tcPr>
          <w:p>
            <w:pPr>
              <w:pStyle w:val="52"/>
            </w:pPr>
            <w: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p>
        </w:tc>
        <w:tc>
          <w:tcPr>
            <w:tcW w:w="518" w:type="dxa"/>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r>
              <w:t>-10</w:t>
            </w:r>
          </w:p>
        </w:tc>
        <w:tc>
          <w:tcPr>
            <w:tcW w:w="0" w:type="auto"/>
            <w:tcBorders>
              <w:top w:val="nil"/>
              <w:left w:val="nil"/>
              <w:bottom w:val="single" w:color="auto" w:sz="4" w:space="0"/>
              <w:right w:val="single" w:color="auto" w:sz="4" w:space="0"/>
            </w:tcBorders>
            <w:noWrap/>
          </w:tcPr>
          <w:p>
            <w:pPr>
              <w:pStyle w:val="52"/>
            </w:pPr>
            <w: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pPr>
            <w:r>
              <w:t>± 1 - 5</w:t>
            </w:r>
          </w:p>
        </w:tc>
        <w:tc>
          <w:tcPr>
            <w:tcW w:w="518" w:type="dxa"/>
            <w:tcBorders>
              <w:top w:val="single" w:color="auto" w:sz="4" w:space="0"/>
              <w:left w:val="nil"/>
              <w:bottom w:val="single" w:color="auto" w:sz="4" w:space="0"/>
              <w:right w:val="nil"/>
            </w:tcBorders>
          </w:tcPr>
          <w:p>
            <w:pPr>
              <w:pStyle w:val="52"/>
            </w:pPr>
          </w:p>
        </w:tc>
        <w:tc>
          <w:tcPr>
            <w:tcW w:w="0" w:type="auto"/>
            <w:gridSpan w:val="8"/>
            <w:tcBorders>
              <w:top w:val="single" w:color="auto" w:sz="4" w:space="0"/>
              <w:left w:val="nil"/>
              <w:bottom w:val="single" w:color="auto" w:sz="4" w:space="0"/>
              <w:right w:val="single" w:color="auto" w:sz="4" w:space="0"/>
            </w:tcBorders>
            <w:noWrap/>
            <w:vAlign w:val="center"/>
          </w:tcPr>
          <w:p>
            <w:pPr>
              <w:pStyle w:val="52"/>
            </w:pPr>
            <w:r>
              <w:t>-10</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pPr>
            <w: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5 - X</w:t>
            </w:r>
          </w:p>
        </w:tc>
        <w:tc>
          <w:tcPr>
            <w:tcW w:w="518" w:type="dxa"/>
            <w:tcBorders>
              <w:top w:val="single" w:color="auto" w:sz="4" w:space="0"/>
              <w:left w:val="nil"/>
              <w:bottom w:val="single" w:color="auto" w:sz="4" w:space="0"/>
              <w:right w:val="nil"/>
            </w:tcBorders>
          </w:tcPr>
          <w:p>
            <w:pPr>
              <w:pStyle w:val="52"/>
            </w:pPr>
          </w:p>
        </w:tc>
        <w:tc>
          <w:tcPr>
            <w:tcW w:w="0" w:type="auto"/>
            <w:gridSpan w:val="8"/>
            <w:tcBorders>
              <w:top w:val="single" w:color="auto" w:sz="4" w:space="0"/>
              <w:left w:val="nil"/>
              <w:bottom w:val="single" w:color="auto" w:sz="4" w:space="0"/>
              <w:right w:val="single" w:color="auto" w:sz="4" w:space="0"/>
            </w:tcBorders>
            <w:noWrap/>
            <w:vAlign w:val="center"/>
          </w:tcPr>
          <w:p>
            <w:pPr>
              <w:pStyle w:val="52"/>
            </w:pPr>
            <w:r>
              <w:t>-13</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X - (BW</w:t>
            </w:r>
            <w:r>
              <w:rPr>
                <w:vertAlign w:val="subscript"/>
              </w:rPr>
              <w:t>Channel</w:t>
            </w:r>
            <w:r>
              <w:t xml:space="preserve"> + 5 MHz)</w:t>
            </w:r>
          </w:p>
        </w:tc>
        <w:tc>
          <w:tcPr>
            <w:tcW w:w="518" w:type="dxa"/>
            <w:tcBorders>
              <w:top w:val="single" w:color="auto" w:sz="4" w:space="0"/>
              <w:left w:val="nil"/>
              <w:bottom w:val="single" w:color="auto" w:sz="4" w:space="0"/>
              <w:right w:val="nil"/>
            </w:tcBorders>
          </w:tcPr>
          <w:p>
            <w:pPr>
              <w:pStyle w:val="52"/>
            </w:pPr>
          </w:p>
        </w:tc>
        <w:tc>
          <w:tcPr>
            <w:tcW w:w="0" w:type="auto"/>
            <w:gridSpan w:val="8"/>
            <w:tcBorders>
              <w:top w:val="single" w:color="auto" w:sz="4" w:space="0"/>
              <w:left w:val="nil"/>
              <w:bottom w:val="single" w:color="auto" w:sz="4" w:space="0"/>
              <w:right w:val="single" w:color="auto" w:sz="4" w:space="0"/>
            </w:tcBorders>
            <w:noWrap/>
            <w:vAlign w:val="center"/>
          </w:tcPr>
          <w:p>
            <w:pPr>
              <w:pStyle w:val="52"/>
            </w:pPr>
            <w:r>
              <w:t>-25</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pPr>
            <w:r>
              <w:t>NOTE:</w:t>
            </w:r>
            <w:r>
              <w:tab/>
            </w:r>
            <w:r>
              <w:t>X is defined in Table 6.5.2.3.</w:t>
            </w:r>
            <w:ins w:id="72" w:author="Yu SHI-China Unicom" w:date="2021-11-09T16:12:08Z">
              <w:r>
                <w:rPr/>
                <w:t>3.</w:t>
              </w:r>
            </w:ins>
            <w:r>
              <w:t>2-1 for CP-OFDM and 6.5.2.3.</w:t>
            </w:r>
            <w:ins w:id="73" w:author="Yu SHI-China Unicom" w:date="2021-11-09T16:12:47Z">
              <w:r>
                <w:rPr/>
                <w:t>3.</w:t>
              </w:r>
            </w:ins>
            <w:r>
              <w:t>2-2 for DFT-S-OFDM</w:t>
            </w:r>
          </w:p>
        </w:tc>
      </w:tr>
      <w:bookmarkEnd w:id="215"/>
    </w:tbl>
    <w:p/>
    <w:p>
      <w:r>
        <w:t>The normative reference for this requirement is TS 38.101-1 [2] clause 6.5.2.3.2.</w:t>
      </w:r>
    </w:p>
    <w:p>
      <w:pPr>
        <w:pStyle w:val="8"/>
      </w:pPr>
      <w:r>
        <w:t>6.5.2.3.3.3</w:t>
      </w:r>
      <w:r>
        <w:tab/>
      </w:r>
      <w:r>
        <w:t>Requirements for network signalling value "NS_03" and "NS_21"</w:t>
      </w:r>
    </w:p>
    <w:p>
      <w:r>
        <w:t>Additional spectrum emission requirements are signalled by the network to indicate that the UE shall meet an additional requirement for a specific deployment scenario as part of the cell handover/broadcast message.</w:t>
      </w:r>
    </w:p>
    <w:p>
      <w:r>
        <w:t>When "NS_03" or "NS_21", is indicated in the cell, the power of any UE emission shall not exceed the levels specified in Table 6.5.2.3.3.3-1.</w:t>
      </w:r>
    </w:p>
    <w:p>
      <w:pPr>
        <w:pStyle w:val="55"/>
      </w:pPr>
      <w:r>
        <w:t xml:space="preserve">Table 6.5.2.3.3.3-1: Additional requirements for </w:t>
      </w:r>
      <w:r>
        <w:rPr>
          <w:lang w:eastAsia="ja-JP"/>
        </w:rPr>
        <w:t>"</w:t>
      </w:r>
      <w:r>
        <w:t>NS_03</w:t>
      </w:r>
      <w:r>
        <w:rPr>
          <w:lang w:eastAsia="ja-JP"/>
        </w:rPr>
        <w:t>" and "</w:t>
      </w:r>
      <w:r>
        <w:t>NS_21</w:t>
      </w:r>
      <w:r>
        <w:rPr>
          <w:lang w:eastAsia="ja-JP"/>
        </w:rPr>
        <w:t>"</w:t>
      </w:r>
    </w:p>
    <w:tbl>
      <w:tblPr>
        <w:tblStyle w:val="47"/>
        <w:tblW w:w="7320"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850"/>
        <w:gridCol w:w="851"/>
        <w:gridCol w:w="850"/>
        <w:gridCol w:w="851"/>
        <w:gridCol w:w="781"/>
        <w:gridCol w:w="204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Pr>
        <w:tc>
          <w:tcPr>
            <w:tcW w:w="7314"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Spectrum emission limit (dBm)/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Δf</w:t>
            </w:r>
            <w:r>
              <w:rPr>
                <w:rFonts w:ascii="Arial" w:hAnsi="Arial" w:cs="Arial"/>
                <w:b/>
                <w:sz w:val="18"/>
                <w:vertAlign w:val="subscript"/>
              </w:rPr>
              <w:t>OOB</w:t>
            </w:r>
          </w:p>
          <w:p>
            <w:pPr>
              <w:keepNext/>
              <w:keepLines/>
              <w:spacing w:after="0"/>
              <w:jc w:val="center"/>
              <w:rPr>
                <w:rFonts w:ascii="Arial" w:hAnsi="Arial" w:cs="Arial"/>
                <w:b/>
                <w:sz w:val="18"/>
              </w:rPr>
            </w:pPr>
            <w:r>
              <w:rPr>
                <w:rFonts w:ascii="Arial" w:hAnsi="Arial" w:cs="Arial"/>
                <w:b/>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5</w:t>
            </w:r>
          </w:p>
          <w:p>
            <w:pPr>
              <w:keepNext/>
              <w:keepLines/>
              <w:spacing w:after="0"/>
              <w:jc w:val="center"/>
              <w:rPr>
                <w:rFonts w:ascii="Arial" w:hAnsi="Arial" w:cs="Arial"/>
                <w:b/>
                <w:sz w:val="18"/>
              </w:rPr>
            </w:pPr>
            <w:r>
              <w:rPr>
                <w:rFonts w:ascii="Arial" w:hAnsi="Arial" w:cs="Arial"/>
                <w:b/>
                <w:sz w:val="18"/>
              </w:rPr>
              <w:t>MHz</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10</w:t>
            </w:r>
          </w:p>
          <w:p>
            <w:pPr>
              <w:keepNext/>
              <w:keepLines/>
              <w:spacing w:after="0"/>
              <w:jc w:val="center"/>
              <w:rPr>
                <w:rFonts w:ascii="Arial" w:hAnsi="Arial" w:cs="Arial"/>
                <w:b/>
                <w:sz w:val="18"/>
              </w:rPr>
            </w:pPr>
            <w:r>
              <w:rPr>
                <w:rFonts w:ascii="Arial" w:hAnsi="Arial" w:cs="Arial"/>
                <w:b/>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15</w:t>
            </w:r>
          </w:p>
          <w:p>
            <w:pPr>
              <w:keepNext/>
              <w:keepLines/>
              <w:spacing w:after="0"/>
              <w:jc w:val="center"/>
              <w:rPr>
                <w:rFonts w:ascii="Arial" w:hAnsi="Arial" w:cs="Arial"/>
                <w:b/>
                <w:sz w:val="18"/>
              </w:rPr>
            </w:pPr>
            <w:r>
              <w:rPr>
                <w:rFonts w:ascii="Arial" w:hAnsi="Arial" w:cs="Arial"/>
                <w:b/>
                <w:sz w:val="18"/>
              </w:rPr>
              <w:t>MHz</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20</w:t>
            </w:r>
          </w:p>
          <w:p>
            <w:pPr>
              <w:keepNext/>
              <w:keepLines/>
              <w:spacing w:after="0"/>
              <w:jc w:val="center"/>
              <w:rPr>
                <w:rFonts w:ascii="Arial" w:hAnsi="Arial" w:cs="Arial"/>
                <w:b/>
                <w:sz w:val="18"/>
              </w:rPr>
            </w:pPr>
            <w:r>
              <w:rPr>
                <w:rFonts w:ascii="Arial" w:hAnsi="Arial" w:cs="Arial"/>
                <w:b/>
                <w:sz w:val="18"/>
              </w:rPr>
              <w:t>MHz</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40 MHz</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sym w:font="Symbol" w:char="F0B1"/>
            </w:r>
            <w:r>
              <w:rPr>
                <w:rFonts w:ascii="Arial" w:hAnsi="Arial" w:cs="Arial"/>
                <w:sz w:val="18"/>
              </w:rPr>
              <w:t xml:space="preserve"> 0-1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-13 </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-13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-13 </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sz w:val="18"/>
              </w:rPr>
              <w:t xml:space="preserve">1 % of channel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1-6</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6-10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10-15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15-20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20-25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25-40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1"/>
            </w:r>
            <w:r>
              <w:rPr>
                <w:rFonts w:ascii="Arial" w:hAnsi="Arial" w:cs="Arial"/>
                <w:sz w:val="18"/>
              </w:rPr>
              <w:t xml:space="preserve"> 40-45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-25</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The normative reference for this requirement is TS 38.101-1 [2] clause 6.5.2.3.3.</w:t>
      </w:r>
    </w:p>
    <w:p>
      <w:pPr>
        <w:pStyle w:val="8"/>
      </w:pPr>
      <w:r>
        <w:t>6.5.2.3.3.4</w:t>
      </w:r>
      <w:r>
        <w:tab/>
      </w:r>
      <w:r>
        <w:t>Requirements for network signalling value "NS_06"</w:t>
      </w:r>
    </w:p>
    <w:p>
      <w:r>
        <w:t>Additional spectrum emission requirements are signalled by the network to indicate that the UE shall meet an additional requirement for a specific deployment scenario as part of the cell handover/broadcast message.</w:t>
      </w:r>
    </w:p>
    <w:p>
      <w:r>
        <w:t>When "NS_06" is indicated in the cell, the power of any UE emission shall not exceed the levels specified in Table 6.5.2.3.3.4-1.</w:t>
      </w:r>
    </w:p>
    <w:p>
      <w:pPr>
        <w:pStyle w:val="55"/>
      </w:pPr>
      <w:r>
        <w:t xml:space="preserve">Table 6.5.2.3.3.4-1: Additional requirements for </w:t>
      </w:r>
      <w:r>
        <w:rPr>
          <w:lang w:eastAsia="ja-JP"/>
        </w:rPr>
        <w:t>"</w:t>
      </w:r>
      <w:r>
        <w:t>NS_06</w:t>
      </w:r>
      <w:r>
        <w:rPr>
          <w:lang w:eastAsia="ja-JP"/>
        </w:rPr>
        <w:t>"</w:t>
      </w:r>
    </w:p>
    <w:tbl>
      <w:tblPr>
        <w:tblStyle w:val="47"/>
        <w:tblW w:w="5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24"/>
        <w:gridCol w:w="759"/>
        <w:gridCol w:w="758"/>
        <w:gridCol w:w="759"/>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5"/>
            <w:shd w:val="clear" w:color="auto" w:fill="auto"/>
            <w:vAlign w:val="center"/>
          </w:tcPr>
          <w:p>
            <w:pPr>
              <w:pStyle w:val="51"/>
            </w:pPr>
            <w:r>
              <w:t xml:space="preserve"> Spectrum emission limit (dBm) / Channel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1"/>
            </w:pPr>
            <w:r>
              <w:t>Δf</w:t>
            </w:r>
            <w:r>
              <w:rPr>
                <w:vertAlign w:val="subscript"/>
              </w:rPr>
              <w:t>OOB</w:t>
            </w:r>
          </w:p>
          <w:p>
            <w:pPr>
              <w:pStyle w:val="51"/>
            </w:pPr>
            <w:r>
              <w:t>(MHz)</w:t>
            </w:r>
          </w:p>
        </w:tc>
        <w:tc>
          <w:tcPr>
            <w:tcW w:w="0" w:type="auto"/>
            <w:shd w:val="clear" w:color="auto" w:fill="auto"/>
            <w:vAlign w:val="center"/>
          </w:tcPr>
          <w:p>
            <w:pPr>
              <w:pStyle w:val="51"/>
            </w:pPr>
            <w:r>
              <w:t>5</w:t>
            </w:r>
          </w:p>
          <w:p>
            <w:pPr>
              <w:pStyle w:val="51"/>
            </w:pPr>
            <w:r>
              <w:t>MHz</w:t>
            </w:r>
          </w:p>
        </w:tc>
        <w:tc>
          <w:tcPr>
            <w:tcW w:w="0" w:type="auto"/>
            <w:shd w:val="clear" w:color="auto" w:fill="auto"/>
            <w:vAlign w:val="center"/>
          </w:tcPr>
          <w:p>
            <w:pPr>
              <w:pStyle w:val="51"/>
            </w:pPr>
            <w:r>
              <w:t>10</w:t>
            </w:r>
          </w:p>
          <w:p>
            <w:pPr>
              <w:pStyle w:val="51"/>
            </w:pPr>
            <w:r>
              <w:t>MHz</w:t>
            </w:r>
          </w:p>
        </w:tc>
        <w:tc>
          <w:tcPr>
            <w:tcW w:w="0" w:type="auto"/>
            <w:shd w:val="clear" w:color="auto" w:fill="auto"/>
            <w:vAlign w:val="center"/>
          </w:tcPr>
          <w:p>
            <w:pPr>
              <w:pStyle w:val="51"/>
            </w:pPr>
            <w:r>
              <w:t>15</w:t>
            </w:r>
          </w:p>
          <w:p>
            <w:pPr>
              <w:pStyle w:val="51"/>
            </w:pPr>
            <w:r>
              <w:t>MHz</w:t>
            </w:r>
          </w:p>
        </w:tc>
        <w:tc>
          <w:tcPr>
            <w:tcW w:w="0" w:type="auto"/>
            <w:shd w:val="clear" w:color="auto" w:fill="auto"/>
            <w:vAlign w:val="center"/>
          </w:tcPr>
          <w:p>
            <w:pPr>
              <w:pStyle w:val="51"/>
            </w:pPr>
            <w:r>
              <w:t xml:space="preserve">Measurement </w:t>
            </w:r>
          </w:p>
          <w:p>
            <w:pPr>
              <w:pStyle w:val="51"/>
            </w:pPr>
            <w: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0 – 0.1</w:t>
            </w:r>
          </w:p>
        </w:tc>
        <w:tc>
          <w:tcPr>
            <w:tcW w:w="0" w:type="auto"/>
            <w:shd w:val="clear" w:color="auto" w:fill="auto"/>
            <w:vAlign w:val="center"/>
          </w:tcPr>
          <w:p>
            <w:pPr>
              <w:pStyle w:val="52"/>
            </w:pPr>
            <w:r>
              <w:t>-15</w:t>
            </w:r>
          </w:p>
        </w:tc>
        <w:tc>
          <w:tcPr>
            <w:tcW w:w="0" w:type="auto"/>
            <w:shd w:val="clear" w:color="auto" w:fill="auto"/>
            <w:vAlign w:val="center"/>
          </w:tcPr>
          <w:p>
            <w:pPr>
              <w:pStyle w:val="52"/>
            </w:pPr>
            <w:r>
              <w:t>-18</w:t>
            </w:r>
          </w:p>
        </w:tc>
        <w:tc>
          <w:tcPr>
            <w:tcW w:w="0" w:type="auto"/>
            <w:shd w:val="clear" w:color="auto" w:fill="auto"/>
            <w:vAlign w:val="center"/>
          </w:tcPr>
          <w:p>
            <w:pPr>
              <w:pStyle w:val="52"/>
            </w:pPr>
            <w:r>
              <w:t>-20</w:t>
            </w:r>
          </w:p>
        </w:tc>
        <w:tc>
          <w:tcPr>
            <w:tcW w:w="0" w:type="auto"/>
            <w:shd w:val="clear" w:color="auto" w:fill="auto"/>
            <w:vAlign w:val="center"/>
          </w:tcPr>
          <w:p>
            <w:pPr>
              <w:pStyle w:val="52"/>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0.1 – 1</w:t>
            </w:r>
          </w:p>
        </w:tc>
        <w:tc>
          <w:tcPr>
            <w:tcW w:w="0" w:type="auto"/>
            <w:shd w:val="clear" w:color="auto" w:fill="auto"/>
            <w:vAlign w:val="center"/>
          </w:tcPr>
          <w:p>
            <w:pPr>
              <w:pStyle w:val="52"/>
            </w:pPr>
            <w:r>
              <w:t>-13</w:t>
            </w:r>
          </w:p>
        </w:tc>
        <w:tc>
          <w:tcPr>
            <w:tcW w:w="0" w:type="auto"/>
            <w:shd w:val="clear" w:color="auto" w:fill="auto"/>
            <w:vAlign w:val="center"/>
          </w:tcPr>
          <w:p>
            <w:pPr>
              <w:pStyle w:val="52"/>
            </w:pPr>
            <w:r>
              <w:t>-13</w:t>
            </w:r>
          </w:p>
        </w:tc>
        <w:tc>
          <w:tcPr>
            <w:tcW w:w="0" w:type="auto"/>
            <w:shd w:val="clear" w:color="auto" w:fill="auto"/>
            <w:vAlign w:val="center"/>
          </w:tcPr>
          <w:p>
            <w:pPr>
              <w:pStyle w:val="52"/>
            </w:pPr>
            <w:r>
              <w:t>-13</w:t>
            </w:r>
          </w:p>
        </w:tc>
        <w:tc>
          <w:tcPr>
            <w:tcW w:w="0" w:type="auto"/>
            <w:shd w:val="clear" w:color="auto" w:fill="auto"/>
            <w:vAlign w:val="center"/>
          </w:tcPr>
          <w:p>
            <w:pPr>
              <w:pStyle w:val="5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1 – 6</w:t>
            </w:r>
          </w:p>
        </w:tc>
        <w:tc>
          <w:tcPr>
            <w:tcW w:w="0" w:type="auto"/>
            <w:shd w:val="clear" w:color="auto" w:fill="auto"/>
            <w:vAlign w:val="center"/>
          </w:tcPr>
          <w:p>
            <w:pPr>
              <w:pStyle w:val="52"/>
            </w:pPr>
            <w:r>
              <w:t>-13</w:t>
            </w:r>
          </w:p>
        </w:tc>
        <w:tc>
          <w:tcPr>
            <w:tcW w:w="0" w:type="auto"/>
            <w:vMerge w:val="restart"/>
            <w:shd w:val="clear" w:color="auto" w:fill="auto"/>
            <w:vAlign w:val="center"/>
          </w:tcPr>
          <w:p>
            <w:pPr>
              <w:pStyle w:val="52"/>
            </w:pPr>
            <w:r>
              <w:t>-13</w:t>
            </w:r>
          </w:p>
        </w:tc>
        <w:tc>
          <w:tcPr>
            <w:tcW w:w="0" w:type="auto"/>
            <w:vMerge w:val="restart"/>
            <w:shd w:val="clear" w:color="auto" w:fill="auto"/>
            <w:vAlign w:val="center"/>
          </w:tcPr>
          <w:p>
            <w:pPr>
              <w:pStyle w:val="52"/>
            </w:pPr>
            <w:r>
              <w:t>-13</w:t>
            </w:r>
          </w:p>
        </w:tc>
        <w:tc>
          <w:tcPr>
            <w:tcW w:w="0" w:type="auto"/>
            <w:vMerge w:val="restart"/>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6 – 10</w:t>
            </w:r>
          </w:p>
        </w:tc>
        <w:tc>
          <w:tcPr>
            <w:tcW w:w="0" w:type="auto"/>
            <w:shd w:val="clear" w:color="auto" w:fill="auto"/>
            <w:vAlign w:val="center"/>
          </w:tcPr>
          <w:p>
            <w:pPr>
              <w:pStyle w:val="52"/>
            </w:pPr>
            <w:r>
              <w:t>-25</w:t>
            </w:r>
          </w:p>
        </w:tc>
        <w:tc>
          <w:tcPr>
            <w:tcW w:w="0" w:type="auto"/>
            <w:vMerge w:val="continue"/>
            <w:vAlign w:val="center"/>
          </w:tcPr>
          <w:p>
            <w:pPr>
              <w:pStyle w:val="52"/>
            </w:pPr>
          </w:p>
        </w:tc>
        <w:tc>
          <w:tcPr>
            <w:tcW w:w="0" w:type="auto"/>
            <w:vMerge w:val="continue"/>
            <w:vAlign w:val="center"/>
          </w:tcPr>
          <w:p>
            <w:pPr>
              <w:pStyle w:val="52"/>
            </w:pPr>
          </w:p>
        </w:tc>
        <w:tc>
          <w:tcPr>
            <w:tcW w:w="0" w:type="auto"/>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10 – 15</w:t>
            </w:r>
          </w:p>
        </w:tc>
        <w:tc>
          <w:tcPr>
            <w:tcW w:w="0" w:type="auto"/>
            <w:shd w:val="clear" w:color="auto" w:fill="auto"/>
            <w:vAlign w:val="center"/>
          </w:tcPr>
          <w:p>
            <w:pPr>
              <w:pStyle w:val="52"/>
            </w:pPr>
          </w:p>
        </w:tc>
        <w:tc>
          <w:tcPr>
            <w:tcW w:w="0" w:type="auto"/>
            <w:shd w:val="clear" w:color="auto" w:fill="auto"/>
            <w:vAlign w:val="center"/>
          </w:tcPr>
          <w:p>
            <w:pPr>
              <w:pStyle w:val="52"/>
            </w:pPr>
            <w:r>
              <w:t>-25</w:t>
            </w:r>
          </w:p>
        </w:tc>
        <w:tc>
          <w:tcPr>
            <w:tcW w:w="0" w:type="auto"/>
            <w:vMerge w:val="continue"/>
            <w:vAlign w:val="center"/>
          </w:tcPr>
          <w:p>
            <w:pPr>
              <w:pStyle w:val="52"/>
            </w:pPr>
          </w:p>
        </w:tc>
        <w:tc>
          <w:tcPr>
            <w:tcW w:w="0" w:type="auto"/>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pPr>
            <w:r>
              <w:t>± 15 – 20</w:t>
            </w:r>
          </w:p>
        </w:tc>
        <w:tc>
          <w:tcPr>
            <w:tcW w:w="0" w:type="auto"/>
            <w:shd w:val="clear" w:color="auto" w:fill="auto"/>
            <w:vAlign w:val="center"/>
          </w:tcPr>
          <w:p>
            <w:pPr>
              <w:pStyle w:val="52"/>
            </w:pPr>
          </w:p>
        </w:tc>
        <w:tc>
          <w:tcPr>
            <w:tcW w:w="0" w:type="auto"/>
            <w:shd w:val="clear" w:color="auto" w:fill="auto"/>
            <w:vAlign w:val="center"/>
          </w:tcPr>
          <w:p>
            <w:pPr>
              <w:pStyle w:val="52"/>
            </w:pPr>
          </w:p>
        </w:tc>
        <w:tc>
          <w:tcPr>
            <w:tcW w:w="0" w:type="auto"/>
            <w:shd w:val="clear" w:color="auto" w:fill="auto"/>
            <w:vAlign w:val="center"/>
          </w:tcPr>
          <w:p>
            <w:pPr>
              <w:pStyle w:val="52"/>
            </w:pPr>
            <w:r>
              <w:t>-25</w:t>
            </w:r>
          </w:p>
        </w:tc>
        <w:tc>
          <w:tcPr>
            <w:tcW w:w="0" w:type="auto"/>
            <w:vMerge w:val="continue"/>
            <w:vAlign w:val="center"/>
          </w:tcPr>
          <w:p>
            <w:pPr>
              <w:pStyle w:val="52"/>
            </w:pP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r>
        <w:t>The normative reference for this requirement is TS 38.101-1 [2] clause 6.5.2.3.4.</w:t>
      </w:r>
    </w:p>
    <w:p>
      <w:pPr>
        <w:pStyle w:val="8"/>
      </w:pPr>
      <w:r>
        <w:t>6.5.2.3.3.5</w:t>
      </w:r>
      <w:r>
        <w:tab/>
      </w:r>
      <w:r>
        <w:t>Void</w:t>
      </w:r>
    </w:p>
    <w:p>
      <w:pPr>
        <w:pStyle w:val="8"/>
      </w:pPr>
      <w:r>
        <w:t>6.5.2.3.3.6</w:t>
      </w:r>
      <w:r>
        <w:tab/>
      </w:r>
      <w:r>
        <w:t>Void</w:t>
      </w:r>
    </w:p>
    <w:p>
      <w:pPr>
        <w:pStyle w:val="8"/>
      </w:pPr>
      <w:r>
        <w:t>6.5.2.3.3.7</w:t>
      </w:r>
      <w:r>
        <w:tab/>
      </w:r>
      <w:r>
        <w:t>Void</w:t>
      </w:r>
    </w:p>
    <w:p>
      <w:pPr>
        <w:pStyle w:val="8"/>
      </w:pPr>
      <w:r>
        <w:t>6.5.2.3</w:t>
      </w:r>
      <w:r>
        <w:rPr>
          <w:lang w:eastAsia="ja-JP"/>
        </w:rPr>
        <w:t>.3</w:t>
      </w:r>
      <w:r>
        <w:t>.8</w:t>
      </w:r>
      <w:r>
        <w:tab/>
      </w:r>
      <w:r>
        <w:t>Requirements for network signalling value "NS_27"</w:t>
      </w:r>
    </w:p>
    <w:p>
      <w:r>
        <w:t>Additional spectrum emission requirements are signalled by the network to indicate that the UE shall meet an additional requirement for a specific deployment scenario as part of the cell handover/broadcast message.</w:t>
      </w:r>
    </w:p>
    <w:p>
      <w:r>
        <w:t>When "NS_27" is indicated in the cell, the power of any UE emission shall not exceed the levels specified in Table 6.5.2.3.3.8-1.</w:t>
      </w:r>
    </w:p>
    <w:p>
      <w:pPr>
        <w:pStyle w:val="55"/>
      </w:pPr>
      <w:r>
        <w:t xml:space="preserve">Table 6.5.2.3.3.8-1: Additional requirements for </w:t>
      </w:r>
      <w:r>
        <w:rPr>
          <w:lang w:eastAsia="ja-JP"/>
        </w:rPr>
        <w:t>"</w:t>
      </w:r>
      <w:r>
        <w:t>NS_27</w:t>
      </w:r>
      <w:r>
        <w:rPr>
          <w:lang w:eastAsia="ja-JP"/>
        </w:rPr>
        <w:t>"</w:t>
      </w:r>
    </w:p>
    <w:tbl>
      <w:tblPr>
        <w:tblStyle w:val="47"/>
        <w:tblW w:w="0" w:type="auto"/>
        <w:jc w:val="center"/>
        <w:tblLayout w:type="autofit"/>
        <w:tblCellMar>
          <w:top w:w="0" w:type="dxa"/>
          <w:left w:w="70" w:type="dxa"/>
          <w:bottom w:w="0" w:type="dxa"/>
          <w:right w:w="70" w:type="dxa"/>
        </w:tblCellMar>
      </w:tblPr>
      <w:tblGrid>
        <w:gridCol w:w="1101"/>
        <w:gridCol w:w="772"/>
        <w:gridCol w:w="1092"/>
        <w:gridCol w:w="1092"/>
        <w:gridCol w:w="1093"/>
        <w:gridCol w:w="1092"/>
        <w:gridCol w:w="1799"/>
      </w:tblGrid>
      <w:tr>
        <w:trPr>
          <w:trHeight w:val="504" w:hRule="atLeast"/>
          <w:jc w:val="center"/>
        </w:trPr>
        <w:tc>
          <w:tcPr>
            <w:tcW w:w="0" w:type="auto"/>
            <w:vMerge w:val="restart"/>
            <w:tcBorders>
              <w:top w:val="single" w:color="auto" w:sz="4" w:space="0"/>
              <w:left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0" w:type="auto"/>
            <w:gridSpan w:val="5"/>
            <w:tcBorders>
              <w:top w:val="single" w:color="auto" w:sz="4" w:space="0"/>
              <w:left w:val="nil"/>
              <w:bottom w:val="single" w:color="auto" w:sz="4" w:space="0"/>
              <w:right w:val="single" w:color="auto" w:sz="4" w:space="0"/>
            </w:tcBorders>
            <w:vAlign w:val="center"/>
          </w:tcPr>
          <w:p>
            <w:pPr>
              <w:pStyle w:val="51"/>
            </w:pPr>
            <w:r>
              <w:t>Channel bandwidth (MHz) / Spectrum emission limit (dBm)</w:t>
            </w:r>
          </w:p>
        </w:tc>
        <w:tc>
          <w:tcPr>
            <w:tcW w:w="1799" w:type="dxa"/>
            <w:vMerge w:val="restart"/>
            <w:tcBorders>
              <w:top w:val="single" w:color="auto" w:sz="4" w:space="0"/>
              <w:left w:val="nil"/>
              <w:right w:val="single" w:color="auto" w:sz="4" w:space="0"/>
            </w:tcBorders>
            <w:vAlign w:val="center"/>
          </w:tcPr>
          <w:p>
            <w:pPr>
              <w:pStyle w:val="51"/>
            </w:pPr>
            <w:r>
              <w:t>Measurement</w:t>
            </w:r>
            <w:r>
              <w:br w:type="textWrapping"/>
            </w:r>
            <w:r>
              <w:t>bandwidth</w:t>
            </w:r>
          </w:p>
        </w:tc>
      </w:tr>
      <w:tr>
        <w:trPr>
          <w:trHeight w:val="50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5</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10</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15</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20</w:t>
            </w:r>
          </w:p>
        </w:tc>
        <w:tc>
          <w:tcPr>
            <w:tcW w:w="0" w:type="auto"/>
            <w:tcBorders>
              <w:top w:val="single" w:color="auto" w:sz="4" w:space="0"/>
              <w:left w:val="nil"/>
              <w:bottom w:val="single" w:color="auto" w:sz="4" w:space="0"/>
              <w:right w:val="single" w:color="auto" w:sz="4" w:space="0"/>
            </w:tcBorders>
            <w:vAlign w:val="center"/>
          </w:tcPr>
          <w:p>
            <w:pPr>
              <w:pStyle w:val="51"/>
              <w:rPr>
                <w:lang w:eastAsia="zh-CN"/>
              </w:rPr>
            </w:pPr>
            <w:r>
              <w:rPr>
                <w:lang w:eastAsia="zh-CN"/>
              </w:rPr>
              <w:t>40</w:t>
            </w:r>
          </w:p>
        </w:tc>
        <w:tc>
          <w:tcPr>
            <w:tcW w:w="1799" w:type="dxa"/>
            <w:vMerge w:val="continue"/>
            <w:tcBorders>
              <w:left w:val="nil"/>
              <w:bottom w:val="single" w:color="auto" w:sz="4" w:space="0"/>
              <w:right w:val="single" w:color="auto" w:sz="4" w:space="0"/>
            </w:tcBorders>
            <w:vAlign w:val="center"/>
          </w:tcPr>
          <w:p>
            <w:pPr>
              <w:pStyle w:val="51"/>
            </w:pPr>
          </w:p>
        </w:tc>
      </w:tr>
      <w:tr>
        <w:trPr>
          <w:trHeight w:val="288" w:hRule="atLeast"/>
          <w:jc w:val="center"/>
        </w:trPr>
        <w:tc>
          <w:tcPr>
            <w:tcW w:w="0" w:type="auto"/>
            <w:tcBorders>
              <w:top w:val="nil"/>
              <w:left w:val="single" w:color="auto" w:sz="4" w:space="0"/>
              <w:bottom w:val="nil"/>
              <w:right w:val="single" w:color="auto" w:sz="4" w:space="0"/>
            </w:tcBorders>
            <w:noWrap/>
            <w:vAlign w:val="center"/>
          </w:tcPr>
          <w:p>
            <w:pPr>
              <w:pStyle w:val="52"/>
            </w:pPr>
            <w:r>
              <w:t>± 0 - 1</w:t>
            </w:r>
          </w:p>
        </w:tc>
        <w:tc>
          <w:tcPr>
            <w:tcW w:w="0" w:type="auto"/>
            <w:gridSpan w:val="5"/>
            <w:tcBorders>
              <w:top w:val="nil"/>
              <w:left w:val="nil"/>
              <w:bottom w:val="single" w:color="auto" w:sz="4" w:space="0"/>
              <w:right w:val="single" w:color="auto" w:sz="4" w:space="0"/>
            </w:tcBorders>
            <w:noWrap/>
            <w:vAlign w:val="center"/>
          </w:tcPr>
          <w:p>
            <w:pPr>
              <w:pStyle w:val="52"/>
            </w:pPr>
            <w:r>
              <w:t>-13</w:t>
            </w:r>
          </w:p>
        </w:tc>
        <w:tc>
          <w:tcPr>
            <w:tcW w:w="1799" w:type="dxa"/>
            <w:tcBorders>
              <w:top w:val="nil"/>
              <w:left w:val="nil"/>
              <w:bottom w:val="single" w:color="auto" w:sz="4" w:space="0"/>
              <w:right w:val="single" w:color="auto" w:sz="4" w:space="0"/>
            </w:tcBorders>
            <w:noWrap/>
          </w:tcPr>
          <w:p>
            <w:pPr>
              <w:pStyle w:val="52"/>
            </w:pPr>
            <w:r>
              <w:t>1 % channel bandwidth</w:t>
            </w:r>
          </w:p>
        </w:tc>
      </w:tr>
      <w:tr>
        <w:trPr>
          <w:trHeight w:val="288" w:hRule="atLeast"/>
          <w:jc w:val="center"/>
        </w:trPr>
        <w:tc>
          <w:tcPr>
            <w:tcW w:w="0" w:type="auto"/>
            <w:tcBorders>
              <w:top w:val="nil"/>
              <w:left w:val="single" w:color="auto" w:sz="4" w:space="0"/>
              <w:bottom w:val="single" w:color="auto" w:sz="4" w:space="0"/>
              <w:right w:val="single" w:color="auto" w:sz="4" w:space="0"/>
            </w:tcBorders>
            <w:noWrap/>
            <w:vAlign w:val="center"/>
          </w:tcPr>
          <w:p>
            <w:pPr>
              <w:pStyle w:val="52"/>
            </w:pPr>
            <w:r>
              <w:t>± 1 - X</w:t>
            </w:r>
          </w:p>
        </w:tc>
        <w:tc>
          <w:tcPr>
            <w:tcW w:w="0" w:type="auto"/>
            <w:gridSpan w:val="5"/>
            <w:tcBorders>
              <w:top w:val="single" w:color="auto" w:sz="4" w:space="0"/>
              <w:left w:val="nil"/>
              <w:bottom w:val="single" w:color="auto" w:sz="4" w:space="0"/>
              <w:right w:val="single" w:color="auto" w:sz="4" w:space="0"/>
            </w:tcBorders>
            <w:vAlign w:val="center"/>
          </w:tcPr>
          <w:p>
            <w:pPr>
              <w:pStyle w:val="52"/>
            </w:pPr>
            <w:r>
              <w:t>-13</w:t>
            </w:r>
          </w:p>
        </w:tc>
        <w:tc>
          <w:tcPr>
            <w:tcW w:w="1799" w:type="dxa"/>
            <w:vMerge w:val="restart"/>
            <w:tcBorders>
              <w:top w:val="nil"/>
              <w:left w:val="single" w:color="auto" w:sz="4" w:space="0"/>
              <w:bottom w:val="single" w:color="auto" w:sz="4" w:space="0"/>
              <w:right w:val="single" w:color="auto" w:sz="4" w:space="0"/>
            </w:tcBorders>
            <w:vAlign w:val="center"/>
          </w:tcPr>
          <w:p>
            <w:pPr>
              <w:pStyle w:val="52"/>
            </w:pPr>
            <w:r>
              <w:t>1 MHz</w:t>
            </w:r>
          </w:p>
        </w:tc>
      </w:tr>
      <w:tr>
        <w:trPr>
          <w:trHeight w:val="288" w:hRule="atLeast"/>
          <w:jc w:val="center"/>
        </w:trPr>
        <w:tc>
          <w:tcPr>
            <w:tcW w:w="0" w:type="auto"/>
            <w:tcBorders>
              <w:top w:val="nil"/>
              <w:left w:val="single" w:color="auto" w:sz="4" w:space="0"/>
              <w:bottom w:val="single" w:color="auto" w:sz="4" w:space="0"/>
              <w:right w:val="single" w:color="auto" w:sz="4" w:space="0"/>
            </w:tcBorders>
            <w:noWrap/>
            <w:vAlign w:val="center"/>
          </w:tcPr>
          <w:p>
            <w:pPr>
              <w:pStyle w:val="52"/>
            </w:pPr>
            <w:r>
              <w:t>&lt; – X or &gt; X</w:t>
            </w:r>
          </w:p>
        </w:tc>
        <w:tc>
          <w:tcPr>
            <w:tcW w:w="0" w:type="auto"/>
            <w:gridSpan w:val="5"/>
            <w:tcBorders>
              <w:top w:val="single" w:color="auto" w:sz="4" w:space="0"/>
              <w:left w:val="nil"/>
              <w:bottom w:val="single" w:color="auto" w:sz="4" w:space="0"/>
              <w:right w:val="single" w:color="auto" w:sz="4" w:space="0"/>
            </w:tcBorders>
            <w:vAlign w:val="center"/>
          </w:tcPr>
          <w:p>
            <w:pPr>
              <w:pStyle w:val="52"/>
            </w:pPr>
            <w:r>
              <w:t>-25</w:t>
            </w:r>
          </w:p>
        </w:tc>
        <w:tc>
          <w:tcPr>
            <w:tcW w:w="1799"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7"/>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sz w:val="18"/>
                <w:lang w:eastAsia="ja-JP"/>
              </w:rPr>
            </w:pPr>
            <w:r>
              <w:rPr>
                <w:rFonts w:ascii="Arial" w:hAnsi="Arial"/>
                <w:sz w:val="18"/>
                <w:lang w:eastAsia="ja-JP"/>
              </w:rPr>
              <w:t>NOTE 1: X is occupied channel bandwidth as defined in Table 6.5.1.3-1.</w:t>
            </w:r>
          </w:p>
          <w:p>
            <w:pPr>
              <w:spacing w:after="0"/>
              <w:rPr>
                <w:rFonts w:ascii="Arial" w:hAnsi="Arial"/>
                <w:sz w:val="18"/>
              </w:rPr>
            </w:pPr>
            <w:r>
              <w:rPr>
                <w:rFonts w:ascii="Arial" w:hAnsi="Arial"/>
                <w:sz w:val="18"/>
                <w:lang w:eastAsia="ja-JP"/>
              </w:rPr>
              <w:t>NOTE 2: The requirements apply only at the frequency range from 3540 MHz to 3710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r>
        <w:t>The normative reference for this requirement is TS 38.101-1 [2] clause 6.5.2.3.8.</w:t>
      </w:r>
    </w:p>
    <w:p>
      <w:pPr>
        <w:pStyle w:val="8"/>
      </w:pPr>
      <w:bookmarkStart w:id="216" w:name="_Toc52990362"/>
      <w:bookmarkStart w:id="217" w:name="_Toc44324168"/>
      <w:bookmarkStart w:id="218" w:name="_Toc60825483"/>
      <w:bookmarkStart w:id="219" w:name="_Toc60823561"/>
      <w:bookmarkStart w:id="220" w:name="_Toc27478171"/>
      <w:bookmarkStart w:id="221" w:name="_Toc36226883"/>
      <w:r>
        <w:t>6.5.2.3.4</w:t>
      </w:r>
      <w:r>
        <w:tab/>
      </w:r>
      <w:r>
        <w:t>Test description</w:t>
      </w:r>
      <w:bookmarkEnd w:id="216"/>
      <w:bookmarkEnd w:id="217"/>
      <w:bookmarkEnd w:id="218"/>
      <w:bookmarkEnd w:id="219"/>
      <w:bookmarkEnd w:id="220"/>
      <w:bookmarkEnd w:id="221"/>
    </w:p>
    <w:p>
      <w:pPr>
        <w:pStyle w:val="8"/>
      </w:pPr>
      <w:r>
        <w:t>6.5.2.3.4.1</w:t>
      </w:r>
      <w:r>
        <w:tab/>
      </w:r>
      <w:r>
        <w:t xml:space="preserve">Initial </w:t>
      </w:r>
      <w:bookmarkStart w:id="222" w:name="_Hlk504021668"/>
      <w:r>
        <w:t>conditions</w:t>
      </w:r>
      <w:bookmarkEnd w:id="222"/>
    </w:p>
    <w:p>
      <w:r>
        <w:t>Initial conditions are a set of test configurations the UE needs to be tested in and the steps for the SS to take with the UE to reach the correct measurement state.</w:t>
      </w:r>
    </w:p>
    <w:p>
      <w:bookmarkStart w:id="223" w:name="_Hlk504021712"/>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w:t>
      </w:r>
      <w:r>
        <w:rPr>
          <w:highlight w:val="yellow"/>
          <w:rPrChange w:id="74" w:author="Yu SHI-China Unicom" w:date="2021-11-09T16:21:59Z">
            <w:rPr/>
          </w:rPrChange>
        </w:rPr>
        <w:t>6.2.3.4.1</w:t>
      </w:r>
      <w:r>
        <w:t>. The details of the uplink reference measurement channels (RMCs) are specified in Annex A.2. Configurations of PDSCH and PDCCH before measurement are specified in Annex C.2.</w:t>
      </w:r>
      <w:bookmarkEnd w:id="223"/>
    </w:p>
    <w:p>
      <w:pPr>
        <w:pStyle w:val="75"/>
      </w:pPr>
      <w:r>
        <w:t>1.</w:t>
      </w:r>
      <w:r>
        <w:tab/>
      </w:r>
      <w:bookmarkStart w:id="224" w:name="_Hlk504022272"/>
      <w:r>
        <w:t>Connect the SS to the UE antenna connectors as shown in TS 38.508-1 [5] Annex A, Figure A.3.1.1.1 for TE diagram and section A.3.2 for UE diagram.</w:t>
      </w:r>
      <w:bookmarkEnd w:id="224"/>
    </w:p>
    <w:p>
      <w:pPr>
        <w:pStyle w:val="75"/>
      </w:pPr>
      <w:r>
        <w:t>2.</w:t>
      </w:r>
      <w:r>
        <w:tab/>
      </w:r>
      <w:r>
        <w:t xml:space="preserve">The parameter settings for the cell are set up </w:t>
      </w:r>
      <w:bookmarkStart w:id="225" w:name="_Hlk504022302"/>
      <w:r>
        <w:t>according to TS 38.508-1 [5] subclause 4.4.3.</w:t>
      </w:r>
      <w:bookmarkEnd w:id="225"/>
    </w:p>
    <w:p>
      <w:pPr>
        <w:pStyle w:val="75"/>
      </w:pPr>
      <w:r>
        <w:t>3.</w:t>
      </w:r>
      <w:r>
        <w:tab/>
      </w:r>
      <w:r>
        <w:t xml:space="preserve">Downlink signals are initially set up according to </w:t>
      </w:r>
      <w:bookmarkStart w:id="226" w:name="_Hlk504022317"/>
      <w:r>
        <w:t>Annex C.0, C.1, C.2 and uplink signals according Annex G.0, G.1, G.2, G.3.0.</w:t>
      </w:r>
      <w:bookmarkEnd w:id="226"/>
    </w:p>
    <w:p>
      <w:pPr>
        <w:pStyle w:val="75"/>
      </w:pPr>
      <w:r>
        <w:t>4.</w:t>
      </w:r>
      <w:r>
        <w:tab/>
      </w:r>
      <w:r>
        <w:t xml:space="preserve">The UL Reference Measurement channels are set according to the applicable </w:t>
      </w:r>
      <w:bookmarkStart w:id="227" w:name="_Hlk504022356"/>
      <w:r>
        <w:t xml:space="preserve">test configuration table in clause </w:t>
      </w:r>
      <w:r>
        <w:rPr>
          <w:highlight w:val="yellow"/>
          <w:rPrChange w:id="75" w:author="Yu SHI-China Unicom" w:date="2021-11-09T16:20:51Z">
            <w:rPr/>
          </w:rPrChange>
        </w:rPr>
        <w:t>6.2.3.4.1</w:t>
      </w:r>
      <w:r>
        <w:t>.</w:t>
      </w:r>
      <w:bookmarkEnd w:id="227"/>
    </w:p>
    <w:p>
      <w:pPr>
        <w:pStyle w:val="75"/>
      </w:pPr>
      <w:r>
        <w:t>5.</w:t>
      </w:r>
      <w:r>
        <w:tab/>
      </w:r>
      <w:r>
        <w:t xml:space="preserve">Propagation conditions are set according to </w:t>
      </w:r>
      <w:bookmarkStart w:id="228" w:name="_Hlk504022369"/>
      <w:r>
        <w:t>Annex B.0.</w:t>
      </w:r>
      <w:bookmarkEnd w:id="228"/>
    </w:p>
    <w:p>
      <w:pPr>
        <w:pStyle w:val="75"/>
      </w:pPr>
      <w:r>
        <w:t>6.</w:t>
      </w:r>
      <w:r>
        <w:tab/>
      </w:r>
      <w:bookmarkStart w:id="229" w:name="_Hlk504022425"/>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w:t>
      </w:r>
      <w:bookmarkEnd w:id="229"/>
      <w:r>
        <w:t>Message contents are defined in clause 6.</w:t>
      </w:r>
      <w:ins w:id="76" w:author="Yu SHI-China Unicom" w:date="2021-11-09T16:19:05Z">
        <w:r>
          <w:rPr/>
          <w:t>5</w:t>
        </w:r>
      </w:ins>
      <w:ins w:id="77" w:author="Yu SHI-China Unicom" w:date="2021-11-09T16:19:06Z">
        <w:r>
          <w:rPr/>
          <w:t>.</w:t>
        </w:r>
      </w:ins>
      <w:r>
        <w:t>2.3.4.3.</w:t>
      </w:r>
    </w:p>
    <w:p>
      <w:pPr>
        <w:pStyle w:val="8"/>
      </w:pPr>
      <w:r>
        <w:t>6.5.2.3.4.2</w:t>
      </w:r>
      <w:r>
        <w:tab/>
      </w:r>
      <w:r>
        <w:t>Test procedure</w:t>
      </w:r>
    </w:p>
    <w:p>
      <w:pPr>
        <w:pStyle w:val="75"/>
      </w:pPr>
      <w:r>
        <w:t>1.</w:t>
      </w:r>
      <w:r>
        <w:tab/>
      </w:r>
      <w:r>
        <w:t>SS sends uplink scheduling information for each UL HARQ process via PDCCH DCI format</w:t>
      </w:r>
      <w:bookmarkStart w:id="230" w:name="_Hlk504022470"/>
      <w:r>
        <w:t xml:space="preserve"> [0_1] </w:t>
      </w:r>
      <w:bookmarkEnd w:id="230"/>
      <w:r>
        <w:t xml:space="preserve">for C_RNTI to schedule the UL RMC according </w:t>
      </w:r>
      <w:bookmarkStart w:id="231" w:name="_Hlk504022648"/>
      <w:r>
        <w:t xml:space="preserve">to the applicable test configuration table in clause </w:t>
      </w:r>
      <w:r>
        <w:rPr>
          <w:highlight w:val="yellow"/>
          <w:rPrChange w:id="78" w:author="Yu SHI-China Unicom" w:date="2021-11-09T16:22:24Z">
            <w:rPr/>
          </w:rPrChange>
        </w:rPr>
        <w:t>6.2.3.4.1</w:t>
      </w:r>
      <w:r>
        <w:t xml:space="preserve">. </w:t>
      </w:r>
      <w:bookmarkEnd w:id="231"/>
      <w:r>
        <w:t>Since the UE has no payload data to send, the UE transmits uplink MAC padding bits on the UL RMC.</w:t>
      </w:r>
    </w:p>
    <w:p>
      <w:pPr>
        <w:pStyle w:val="75"/>
      </w:pPr>
      <w:r>
        <w:t>2.</w:t>
      </w:r>
      <w:r>
        <w:tab/>
      </w:r>
      <w:r>
        <w:t xml:space="preserve">Send continuously uplink power control "up" commands in the uplink scheduling information to the UE. </w:t>
      </w:r>
      <w:bookmarkStart w:id="232" w:name="_Hlk504022682"/>
      <w:r>
        <w:t>Allow at least 200ms starting from the first TPC command in this step for the UE to reach P</w:t>
      </w:r>
      <w:r>
        <w:rPr>
          <w:vertAlign w:val="subscript"/>
        </w:rPr>
        <w:t>UMAX</w:t>
      </w:r>
      <w:r>
        <w:t xml:space="preserve"> level.</w:t>
      </w:r>
      <w:bookmarkEnd w:id="232"/>
    </w:p>
    <w:p>
      <w:pPr>
        <w:pStyle w:val="75"/>
      </w:pPr>
      <w:r>
        <w:t>3.</w:t>
      </w:r>
      <w:r>
        <w:tab/>
      </w:r>
      <w:r>
        <w:t>Measure the mean power of the UE in the channel bandwidth of the radio access mode according to the test configuration, which shall meet the requirements described in applicable table from Table 6.2.3.5-1 to Table 6.2.3.5-35. The period of measurement shall be at least the continuous duration one sub-frame (1ms). For TDD slots with transient periods are not under test.</w:t>
      </w:r>
    </w:p>
    <w:p>
      <w:pPr>
        <w:pStyle w:val="75"/>
      </w:pPr>
      <w:r>
        <w:t>4.</w:t>
      </w:r>
      <w:r>
        <w:tab/>
      </w:r>
      <w:r>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pPr>
        <w:pStyle w:val="56"/>
      </w:pPr>
      <w:r>
        <w:t>NOTE 1: When switching to DFT-s-OFDM waveform, as specified in the test configuration Table 6.2.3.4.1-1 through 6.2.3.4.1-2, send an NR RRCReconfiguration message according to TS 38.508-1 [5] clause 4.6.3 Table 4.6.3-118 PUSCH-Config with TRANSFORM_PRECODER_ENABLED condition.</w:t>
      </w:r>
    </w:p>
    <w:p>
      <w:pPr>
        <w:pStyle w:val="8"/>
      </w:pPr>
      <w:r>
        <w:t>6.5.2.3.4.3</w:t>
      </w:r>
      <w:r>
        <w:tab/>
      </w:r>
      <w:r>
        <w:t>Message contents</w:t>
      </w:r>
    </w:p>
    <w:p>
      <w:pPr>
        <w:rPr>
          <w:lang w:eastAsia="ja-JP"/>
        </w:rPr>
      </w:pPr>
      <w:r>
        <w:t xml:space="preserve">Message contents are according to TS 38.508-1 [5] </w:t>
      </w:r>
      <w:bookmarkStart w:id="233" w:name="_Hlk504022879"/>
      <w:r>
        <w:t xml:space="preserve">subclause 4.6, </w:t>
      </w:r>
      <w:bookmarkEnd w:id="233"/>
      <w:r>
        <w:t>with the following exceptions</w:t>
      </w:r>
      <w:r>
        <w:rPr>
          <w:lang w:eastAsia="ja-JP"/>
        </w:rPr>
        <w:t xml:space="preserve"> for each network signalling value.</w:t>
      </w:r>
    </w:p>
    <w:p>
      <w:pPr>
        <w:pStyle w:val="8"/>
      </w:pPr>
      <w:r>
        <w:t>6.5.2.3.4.3.1</w:t>
      </w:r>
      <w:r>
        <w:tab/>
      </w:r>
      <w:r>
        <w:t>Message contents exceptions (network signalling value "NS_35")</w:t>
      </w:r>
    </w:p>
    <w:p>
      <w:bookmarkStart w:id="234" w:name="_Hlk504022936"/>
      <w:r>
        <w:t>For "NS_35" see A-MPR test case in table 6.2.3.4.3.2-1.</w:t>
      </w:r>
      <w:bookmarkEnd w:id="234"/>
    </w:p>
    <w:p>
      <w:pPr>
        <w:pStyle w:val="8"/>
      </w:pPr>
      <w:r>
        <w:t>6.5.2.3.4.3.2</w:t>
      </w:r>
      <w:r>
        <w:tab/>
      </w:r>
      <w:r>
        <w:t>Message contents exceptions (network signalling value "NS_04")</w:t>
      </w:r>
    </w:p>
    <w:p>
      <w:r>
        <w:t>For "NS_</w:t>
      </w:r>
      <w:r>
        <w:rPr>
          <w:lang w:eastAsia="ja-JP"/>
        </w:rPr>
        <w:t>04</w:t>
      </w:r>
      <w:r>
        <w:t>" see A-MPR test case in table 6.2.3.4.3.4-1.</w:t>
      </w:r>
    </w:p>
    <w:p>
      <w:pPr>
        <w:pStyle w:val="8"/>
      </w:pPr>
      <w:r>
        <w:t>6.5.2.3.4.3.3</w:t>
      </w:r>
      <w:r>
        <w:tab/>
      </w:r>
      <w:r>
        <w:t>Message contents exceptions (network signalling value "NS_03")</w:t>
      </w:r>
    </w:p>
    <w:p>
      <w:r>
        <w:t>For "NS_</w:t>
      </w:r>
      <w:r>
        <w:rPr>
          <w:lang w:eastAsia="ja-JP"/>
        </w:rPr>
        <w:t>03</w:t>
      </w:r>
      <w:r>
        <w:t>" see A-MPR test case in table 6.2.3.4.3.1-1.</w:t>
      </w:r>
    </w:p>
    <w:p>
      <w:pPr>
        <w:pStyle w:val="8"/>
      </w:pPr>
      <w:r>
        <w:t>6.5.2.3.4.3.4</w:t>
      </w:r>
      <w:r>
        <w:tab/>
      </w:r>
      <w:r>
        <w:t xml:space="preserve">Message contents exceptions (network signalling value </w:t>
      </w:r>
      <w:r>
        <w:rPr>
          <w:highlight w:val="yellow"/>
          <w:rPrChange w:id="79" w:author="Yu SHI-China Unicom" w:date="2021-11-09T16:30:23Z">
            <w:rPr/>
          </w:rPrChange>
        </w:rPr>
        <w:t>"NS_03U"</w:t>
      </w:r>
      <w:r>
        <w:t>)</w:t>
      </w:r>
    </w:p>
    <w:p>
      <w:r>
        <w:t>For "NS_</w:t>
      </w:r>
      <w:r>
        <w:rPr>
          <w:lang w:eastAsia="ja-JP"/>
        </w:rPr>
        <w:t>03U</w:t>
      </w:r>
      <w:r>
        <w:t xml:space="preserve">" see A-MPR test case in table </w:t>
      </w:r>
      <w:r>
        <w:rPr>
          <w:highlight w:val="yellow"/>
          <w:rPrChange w:id="80" w:author="Yu SHI-China Unicom" w:date="2021-11-09T16:29:18Z">
            <w:rPr/>
          </w:rPrChange>
        </w:rPr>
        <w:t>6.2.3.4.3.3-1</w:t>
      </w:r>
      <w:r>
        <w:t>.</w:t>
      </w:r>
    </w:p>
    <w:p>
      <w:pPr>
        <w:pStyle w:val="8"/>
      </w:pPr>
      <w:r>
        <w:t>6.5.2.3.4.3.5</w:t>
      </w:r>
      <w:r>
        <w:tab/>
      </w:r>
      <w:r>
        <w:t>Message contents exceptions (network signalling value "NS_06")</w:t>
      </w:r>
    </w:p>
    <w:p>
      <w:r>
        <w:t>For "NS_</w:t>
      </w:r>
      <w:r>
        <w:rPr>
          <w:lang w:eastAsia="ja-JP"/>
        </w:rPr>
        <w:t>06</w:t>
      </w:r>
      <w:r>
        <w:t>" see A-MPR test case in table 6.2.3.4.3.7-1.</w:t>
      </w:r>
    </w:p>
    <w:p>
      <w:pPr>
        <w:pStyle w:val="8"/>
      </w:pPr>
      <w:r>
        <w:t>6.5.2.3.4.3.6</w:t>
      </w:r>
      <w:r>
        <w:tab/>
      </w:r>
      <w:r>
        <w:t>Message contents exceptions (network signalling value "NS_21")</w:t>
      </w:r>
    </w:p>
    <w:p>
      <w:r>
        <w:t>For "NS_</w:t>
      </w:r>
      <w:r>
        <w:rPr>
          <w:lang w:eastAsia="ja-JP"/>
        </w:rPr>
        <w:t>21</w:t>
      </w:r>
      <w:r>
        <w:t>" see A-MPR test case in table 6.2.3.4.3.20-1.</w:t>
      </w:r>
    </w:p>
    <w:p>
      <w:pPr>
        <w:pStyle w:val="8"/>
      </w:pPr>
      <w:r>
        <w:t>6.5.2.3.5</w:t>
      </w:r>
      <w:r>
        <w:tab/>
      </w:r>
      <w:r>
        <w:t>Test requirement</w:t>
      </w:r>
    </w:p>
    <w:p>
      <w:pPr>
        <w:pStyle w:val="55"/>
      </w:pPr>
      <w:r>
        <w:t>Table 6.5.2.3.5-1: Test Tolerance (Additional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r>
    </w:tbl>
    <w:p/>
    <w:p>
      <w:pPr>
        <w:pStyle w:val="8"/>
      </w:pPr>
      <w:r>
        <w:t>6.5.2.3.5.1</w:t>
      </w:r>
      <w:r>
        <w:tab/>
      </w:r>
      <w:r>
        <w:t>Test requirements (network signalling value "NS_35")</w:t>
      </w:r>
    </w:p>
    <w:p>
      <w:r>
        <w:t>When "NS_35" is indicated in the cell:</w:t>
      </w:r>
    </w:p>
    <w:p>
      <w:pPr>
        <w:pStyle w:val="75"/>
      </w:pPr>
      <w:r>
        <w:t>-</w:t>
      </w:r>
      <w:r>
        <w:tab/>
      </w:r>
      <w:r>
        <w:t>the measured UE mean power in the channel bandwidth, derived in step 3, shall fulfil requirements in table 6.2.3.5-1 as appropriate for a NR UE.</w:t>
      </w:r>
    </w:p>
    <w:p>
      <w:r>
        <w:t>and</w:t>
      </w:r>
    </w:p>
    <w:p>
      <w:pPr>
        <w:pStyle w:val="75"/>
      </w:pPr>
      <w:r>
        <w:t>-</w:t>
      </w:r>
      <w:r>
        <w:tab/>
      </w:r>
      <w:r>
        <w:t xml:space="preserve">the power of any UE emission shall fulfil requirements in </w:t>
      </w:r>
      <w:bookmarkStart w:id="235" w:name="_Hlk504023277"/>
      <w:r>
        <w:t xml:space="preserve">table 6.5.2.3.5.1-1, </w:t>
      </w:r>
      <w:bookmarkEnd w:id="235"/>
      <w:r>
        <w:t>as applicable.</w:t>
      </w:r>
    </w:p>
    <w:p>
      <w:pPr>
        <w:pStyle w:val="55"/>
      </w:pPr>
      <w:r>
        <w:t>Table 6.5.2.3.5.1-1: Additional test requirements "NS_35"</w:t>
      </w:r>
    </w:p>
    <w:tbl>
      <w:tblPr>
        <w:tblStyle w:val="47"/>
        <w:tblW w:w="7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187"/>
        <w:gridCol w:w="1202"/>
        <w:gridCol w:w="1218"/>
        <w:gridCol w:w="1229"/>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89"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sz w:val="18"/>
              </w:rPr>
            </w:pPr>
            <w:r>
              <w:rPr>
                <w:rFonts w:ascii="Arial" w:hAnsi="Arial" w:eastAsia="宋体"/>
                <w:sz w:val="18"/>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b/>
                <w:sz w:val="18"/>
              </w:rPr>
            </w:pPr>
            <w:r>
              <w:rPr>
                <w:rFonts w:ascii="Arial" w:hAnsi="Arial" w:eastAsia="宋体" w:cs="Arial"/>
                <w:b/>
                <w:sz w:val="18"/>
              </w:rPr>
              <w:t>Δf</w:t>
            </w:r>
            <w:r>
              <w:rPr>
                <w:rFonts w:ascii="Arial" w:hAnsi="Arial" w:eastAsia="宋体" w:cs="Arial"/>
                <w:b/>
                <w:sz w:val="18"/>
                <w:vertAlign w:val="subscript"/>
              </w:rPr>
              <w:t>OOB</w:t>
            </w:r>
          </w:p>
          <w:p>
            <w:pPr>
              <w:keepNext/>
              <w:keepLines/>
              <w:spacing w:after="0"/>
              <w:jc w:val="center"/>
              <w:rPr>
                <w:rFonts w:ascii="Arial" w:hAnsi="Arial" w:eastAsia="宋体" w:cs="Arial"/>
                <w:b/>
                <w:sz w:val="18"/>
              </w:rPr>
            </w:pPr>
            <w:r>
              <w:rPr>
                <w:rFonts w:ascii="Arial" w:hAnsi="Arial" w:eastAsia="宋体" w:cs="Arial"/>
                <w:b/>
                <w:sz w:val="18"/>
              </w:rPr>
              <w:t>(MHz)</w:t>
            </w:r>
          </w:p>
        </w:tc>
        <w:tc>
          <w:tcPr>
            <w:tcW w:w="1187" w:type="dxa"/>
            <w:vAlign w:val="center"/>
          </w:tcPr>
          <w:p>
            <w:pPr>
              <w:keepNext/>
              <w:keepLines/>
              <w:spacing w:after="0"/>
              <w:jc w:val="center"/>
              <w:rPr>
                <w:rFonts w:ascii="Arial" w:hAnsi="Arial" w:eastAsia="宋体" w:cs="Arial"/>
                <w:b/>
                <w:sz w:val="18"/>
              </w:rPr>
            </w:pPr>
            <w:r>
              <w:rPr>
                <w:rFonts w:ascii="Arial" w:hAnsi="Arial" w:eastAsia="宋体" w:cs="Arial"/>
                <w:b/>
                <w:sz w:val="18"/>
              </w:rPr>
              <w:t>5 MHz</w:t>
            </w:r>
          </w:p>
        </w:tc>
        <w:tc>
          <w:tcPr>
            <w:tcW w:w="1202" w:type="dxa"/>
            <w:vAlign w:val="center"/>
          </w:tcPr>
          <w:p>
            <w:pPr>
              <w:keepNext/>
              <w:keepLines/>
              <w:spacing w:after="0"/>
              <w:jc w:val="center"/>
              <w:rPr>
                <w:rFonts w:ascii="Arial" w:hAnsi="Arial" w:eastAsia="宋体" w:cs="Arial"/>
                <w:b/>
                <w:sz w:val="18"/>
              </w:rPr>
            </w:pPr>
            <w:r>
              <w:rPr>
                <w:rFonts w:ascii="Arial" w:hAnsi="Arial" w:eastAsia="宋体" w:cs="Arial"/>
                <w:b/>
                <w:sz w:val="18"/>
              </w:rPr>
              <w:t>10 MHz</w:t>
            </w:r>
          </w:p>
        </w:tc>
        <w:tc>
          <w:tcPr>
            <w:tcW w:w="1218" w:type="dxa"/>
            <w:vAlign w:val="center"/>
          </w:tcPr>
          <w:p>
            <w:pPr>
              <w:keepNext/>
              <w:keepLines/>
              <w:spacing w:after="0"/>
              <w:jc w:val="center"/>
              <w:rPr>
                <w:rFonts w:ascii="Arial" w:hAnsi="Arial" w:eastAsia="宋体" w:cs="Arial"/>
                <w:b/>
                <w:sz w:val="18"/>
              </w:rPr>
            </w:pPr>
            <w:r>
              <w:rPr>
                <w:rFonts w:ascii="Arial" w:hAnsi="Arial" w:eastAsia="宋体" w:cs="Arial"/>
                <w:b/>
                <w:sz w:val="18"/>
              </w:rPr>
              <w:t>15 MHz</w:t>
            </w:r>
          </w:p>
        </w:tc>
        <w:tc>
          <w:tcPr>
            <w:tcW w:w="1229" w:type="dxa"/>
            <w:vAlign w:val="center"/>
          </w:tcPr>
          <w:p>
            <w:pPr>
              <w:keepNext/>
              <w:keepLines/>
              <w:spacing w:after="0"/>
              <w:jc w:val="center"/>
              <w:rPr>
                <w:rFonts w:ascii="Arial" w:hAnsi="Arial" w:eastAsia="宋体" w:cs="Arial"/>
                <w:b/>
                <w:sz w:val="18"/>
              </w:rPr>
            </w:pPr>
            <w:r>
              <w:rPr>
                <w:rFonts w:ascii="Arial" w:hAnsi="Arial" w:eastAsia="宋体" w:cs="Arial"/>
                <w:b/>
                <w:sz w:val="18"/>
              </w:rPr>
              <w:t>20 MHz</w:t>
            </w:r>
          </w:p>
        </w:tc>
        <w:tc>
          <w:tcPr>
            <w:tcW w:w="1768" w:type="dxa"/>
            <w:vAlign w:val="center"/>
          </w:tcPr>
          <w:p>
            <w:pPr>
              <w:keepNext/>
              <w:keepLines/>
              <w:spacing w:after="0"/>
              <w:jc w:val="center"/>
              <w:rPr>
                <w:rFonts w:ascii="Arial" w:hAnsi="Arial" w:eastAsia="宋体" w:cs="Arial"/>
                <w:b/>
                <w:sz w:val="18"/>
              </w:rPr>
            </w:pPr>
            <w:r>
              <w:rPr>
                <w:rFonts w:ascii="Arial" w:hAnsi="Arial" w:eastAsia="宋体" w:cs="Arial"/>
                <w:b/>
                <w:sz w:val="18"/>
              </w:rP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0-0.1</w:t>
            </w:r>
          </w:p>
        </w:tc>
        <w:tc>
          <w:tcPr>
            <w:tcW w:w="1187" w:type="dxa"/>
            <w:vAlign w:val="center"/>
          </w:tcPr>
          <w:p>
            <w:pPr>
              <w:keepNext/>
              <w:keepLines/>
              <w:spacing w:after="0"/>
              <w:jc w:val="center"/>
              <w:rPr>
                <w:rFonts w:ascii="Arial" w:hAnsi="Arial" w:eastAsia="宋体" w:cs="Arial"/>
                <w:sz w:val="18"/>
              </w:rPr>
            </w:pPr>
            <w:r>
              <w:rPr>
                <w:rFonts w:ascii="Arial" w:hAnsi="Arial" w:eastAsia="宋体" w:cs="Arial"/>
                <w:sz w:val="18"/>
              </w:rPr>
              <w:t xml:space="preserve">-15.0 + TT </w:t>
            </w: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-18.0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-20.0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-21.0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0.1-6</w:t>
            </w:r>
          </w:p>
        </w:tc>
        <w:tc>
          <w:tcPr>
            <w:tcW w:w="1187"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6-10</w:t>
            </w:r>
          </w:p>
        </w:tc>
        <w:tc>
          <w:tcPr>
            <w:tcW w:w="1187"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eastAsia="宋体" w:cs="Arial"/>
                <w:sz w:val="18"/>
                <w:vertAlign w:val="superscript"/>
              </w:rPr>
              <w:t xml:space="preserve"> 1</w:t>
            </w:r>
            <w:r>
              <w:rPr>
                <w:rFonts w:ascii="Arial" w:hAnsi="Arial" w:cs="Arial"/>
                <w:sz w:val="18"/>
                <w:lang w:eastAsia="ja-JP"/>
              </w:rPr>
              <w:t xml:space="preserve"> + TT</w:t>
            </w: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10-15</w:t>
            </w:r>
          </w:p>
        </w:tc>
        <w:tc>
          <w:tcPr>
            <w:tcW w:w="1187" w:type="dxa"/>
            <w:vAlign w:val="center"/>
          </w:tcPr>
          <w:p>
            <w:pPr>
              <w:keepNext/>
              <w:keepLines/>
              <w:spacing w:after="0"/>
              <w:jc w:val="center"/>
              <w:rPr>
                <w:rFonts w:ascii="Arial" w:hAnsi="Arial" w:eastAsia="宋体" w:cs="Arial"/>
                <w:sz w:val="18"/>
              </w:rPr>
            </w:pPr>
          </w:p>
        </w:tc>
        <w:tc>
          <w:tcPr>
            <w:tcW w:w="1202"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eastAsia="宋体" w:cs="Arial"/>
                <w:sz w:val="18"/>
                <w:vertAlign w:val="superscript"/>
              </w:rPr>
              <w:t>1</w:t>
            </w:r>
            <w:r>
              <w:rPr>
                <w:rFonts w:ascii="Arial" w:hAnsi="Arial" w:eastAsia="宋体" w:cs="Arial"/>
                <w:sz w:val="18"/>
              </w:rPr>
              <w:t xml:space="preserve"> </w:t>
            </w:r>
            <w:r>
              <w:rPr>
                <w:rFonts w:ascii="Arial" w:hAnsi="Arial" w:cs="Arial"/>
                <w:sz w:val="18"/>
                <w:lang w:eastAsia="ja-JP"/>
              </w:rPr>
              <w:t>0 + TT</w:t>
            </w: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15-20</w:t>
            </w:r>
          </w:p>
        </w:tc>
        <w:tc>
          <w:tcPr>
            <w:tcW w:w="1187" w:type="dxa"/>
            <w:vAlign w:val="center"/>
          </w:tcPr>
          <w:p>
            <w:pPr>
              <w:keepNext/>
              <w:keepLines/>
              <w:spacing w:after="0"/>
              <w:jc w:val="center"/>
              <w:rPr>
                <w:rFonts w:ascii="Arial" w:hAnsi="Arial" w:eastAsia="宋体" w:cs="Arial"/>
                <w:sz w:val="18"/>
              </w:rPr>
            </w:pPr>
          </w:p>
        </w:tc>
        <w:tc>
          <w:tcPr>
            <w:tcW w:w="1202" w:type="dxa"/>
            <w:vAlign w:val="center"/>
          </w:tcPr>
          <w:p>
            <w:pPr>
              <w:keepNext/>
              <w:keepLines/>
              <w:spacing w:after="0"/>
              <w:jc w:val="center"/>
              <w:rPr>
                <w:rFonts w:ascii="Arial" w:hAnsi="Arial" w:eastAsia="宋体" w:cs="Arial"/>
                <w:sz w:val="18"/>
              </w:rPr>
            </w:pPr>
          </w:p>
        </w:tc>
        <w:tc>
          <w:tcPr>
            <w:tcW w:w="1218"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eastAsia="宋体" w:cs="Arial"/>
                <w:sz w:val="18"/>
                <w:vertAlign w:val="superscript"/>
              </w:rPr>
              <w:t xml:space="preserve"> 1</w:t>
            </w:r>
            <w:r>
              <w:rPr>
                <w:rFonts w:ascii="Arial" w:hAnsi="Arial" w:cs="Arial"/>
                <w:sz w:val="18"/>
                <w:lang w:eastAsia="ja-JP"/>
              </w:rPr>
              <w:t>0 + TT</w:t>
            </w: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-13.0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rPr>
            </w:pPr>
            <w:r>
              <w:rPr>
                <w:rFonts w:ascii="Arial" w:hAnsi="Arial" w:eastAsia="宋体" w:cs="Arial"/>
                <w:sz w:val="18"/>
              </w:rPr>
              <w:sym w:font="Symbol" w:char="F0B1"/>
            </w:r>
            <w:r>
              <w:rPr>
                <w:rFonts w:ascii="Arial" w:hAnsi="Arial" w:eastAsia="宋体" w:cs="Arial"/>
                <w:sz w:val="18"/>
              </w:rPr>
              <w:t xml:space="preserve"> 20-25</w:t>
            </w:r>
          </w:p>
        </w:tc>
        <w:tc>
          <w:tcPr>
            <w:tcW w:w="1187" w:type="dxa"/>
            <w:vAlign w:val="center"/>
          </w:tcPr>
          <w:p>
            <w:pPr>
              <w:keepNext/>
              <w:keepLines/>
              <w:spacing w:after="0"/>
              <w:jc w:val="center"/>
              <w:rPr>
                <w:rFonts w:ascii="Arial" w:hAnsi="Arial" w:eastAsia="宋体" w:cs="Arial"/>
                <w:sz w:val="18"/>
              </w:rPr>
            </w:pPr>
          </w:p>
        </w:tc>
        <w:tc>
          <w:tcPr>
            <w:tcW w:w="1202" w:type="dxa"/>
            <w:vAlign w:val="center"/>
          </w:tcPr>
          <w:p>
            <w:pPr>
              <w:keepNext/>
              <w:keepLines/>
              <w:spacing w:after="0"/>
              <w:jc w:val="center"/>
              <w:rPr>
                <w:rFonts w:ascii="Arial" w:hAnsi="Arial" w:eastAsia="宋体" w:cs="Arial"/>
                <w:sz w:val="18"/>
              </w:rPr>
            </w:pPr>
          </w:p>
        </w:tc>
        <w:tc>
          <w:tcPr>
            <w:tcW w:w="1218" w:type="dxa"/>
            <w:vAlign w:val="center"/>
          </w:tcPr>
          <w:p>
            <w:pPr>
              <w:keepNext/>
              <w:keepLines/>
              <w:spacing w:after="0"/>
              <w:jc w:val="center"/>
              <w:rPr>
                <w:rFonts w:ascii="Arial" w:hAnsi="Arial" w:eastAsia="宋体" w:cs="Arial"/>
                <w:sz w:val="18"/>
              </w:rPr>
            </w:pPr>
          </w:p>
        </w:tc>
        <w:tc>
          <w:tcPr>
            <w:tcW w:w="1229" w:type="dxa"/>
            <w:vAlign w:val="center"/>
          </w:tcPr>
          <w:p>
            <w:pPr>
              <w:keepNext/>
              <w:keepLines/>
              <w:spacing w:after="0"/>
              <w:jc w:val="center"/>
              <w:rPr>
                <w:rFonts w:ascii="Arial" w:hAnsi="Arial" w:eastAsia="宋体" w:cs="Arial"/>
                <w:sz w:val="18"/>
              </w:rPr>
            </w:pPr>
            <w:r>
              <w:rPr>
                <w:rFonts w:ascii="Arial" w:hAnsi="Arial" w:cs="Arial"/>
                <w:sz w:val="18"/>
                <w:lang w:eastAsia="ja-JP"/>
              </w:rPr>
              <w:t>-</w:t>
            </w:r>
            <w:r>
              <w:rPr>
                <w:rFonts w:ascii="Arial" w:hAnsi="Arial" w:eastAsia="宋体" w:cs="Arial"/>
                <w:sz w:val="18"/>
              </w:rPr>
              <w:t>25</w:t>
            </w:r>
            <w:r>
              <w:rPr>
                <w:rFonts w:ascii="Arial" w:hAnsi="Arial" w:cs="Arial"/>
                <w:sz w:val="18"/>
                <w:lang w:eastAsia="ja-JP"/>
              </w:rPr>
              <w:t xml:space="preserve"> + TT</w:t>
            </w:r>
          </w:p>
        </w:tc>
        <w:tc>
          <w:tcPr>
            <w:tcW w:w="1768" w:type="dxa"/>
            <w:vAlign w:val="center"/>
          </w:tcPr>
          <w:p>
            <w:pPr>
              <w:keepNext/>
              <w:keepLines/>
              <w:spacing w:after="0"/>
              <w:jc w:val="center"/>
              <w:rPr>
                <w:rFonts w:ascii="Arial" w:hAnsi="Arial" w:eastAsia="宋体" w:cs="Arial"/>
                <w:sz w:val="18"/>
              </w:rPr>
            </w:pPr>
            <w:r>
              <w:rPr>
                <w:rFonts w:ascii="Arial" w:hAnsi="Arial" w:eastAsia="宋体" w:cs="Arial"/>
                <w:sz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89" w:type="dxa"/>
            <w:gridSpan w:val="6"/>
          </w:tcPr>
          <w:p>
            <w:pPr>
              <w:pStyle w:val="66"/>
            </w:pPr>
            <w:r>
              <w:rPr>
                <w:rFonts w:eastAsia="宋体"/>
              </w:rPr>
              <w:t>NOTE 1:</w:t>
            </w:r>
            <w:r>
              <w:rPr>
                <w:rFonts w:eastAsia="宋体"/>
              </w:rPr>
              <w:tab/>
            </w:r>
            <w:r>
              <w:rPr>
                <w:rFonts w:eastAsia="宋体"/>
              </w:rPr>
              <w:t>The measurement bandwidth shall be 1 MHz</w:t>
            </w:r>
            <w:r>
              <w:t>.</w:t>
            </w:r>
          </w:p>
          <w:p>
            <w:pPr>
              <w:pStyle w:val="66"/>
              <w:rPr>
                <w:rFonts w:eastAsia="宋体"/>
              </w:rPr>
            </w:pPr>
            <w:r>
              <w:t>NOTE 2:</w:t>
            </w:r>
            <w:r>
              <w:tab/>
            </w:r>
            <w:r>
              <w:t>TT for each frequency and channel bandwidth is specified in Table 6.5.2.3.5-1.</w:t>
            </w:r>
          </w:p>
        </w:tc>
      </w:tr>
    </w:tbl>
    <w:p>
      <w:pPr>
        <w:rPr>
          <w:rFonts w:eastAsia="宋体"/>
        </w:rPr>
      </w:pPr>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eastAsia="宋体"/>
        </w:rPr>
      </w:pPr>
    </w:p>
    <w:p>
      <w:pPr>
        <w:pStyle w:val="8"/>
      </w:pPr>
      <w:r>
        <w:t>6.5.2.3.5.2</w:t>
      </w:r>
      <w:r>
        <w:tab/>
      </w:r>
      <w:r>
        <w:t>Test requirements (network signalling value "NS_04")</w:t>
      </w:r>
    </w:p>
    <w:p>
      <w:r>
        <w:t>When "NS_04" is indicated in the cell:</w:t>
      </w:r>
    </w:p>
    <w:p>
      <w:pPr>
        <w:pStyle w:val="75"/>
      </w:pPr>
      <w:r>
        <w:t>-</w:t>
      </w:r>
      <w:r>
        <w:tab/>
      </w:r>
      <w:r>
        <w:t xml:space="preserve">the measured UE mean power in the channel bandwidth, derived in step 3, shall fulfil requirements in Table 6.2.3.5-2 for UE power class 2 or Table </w:t>
      </w:r>
      <w:r>
        <w:rPr>
          <w:lang w:eastAsia="zh-CN"/>
        </w:rPr>
        <w:t xml:space="preserve">6.2.3.5-3 </w:t>
      </w:r>
      <w:r>
        <w:t>UE power class 3.</w:t>
      </w:r>
    </w:p>
    <w:p>
      <w:r>
        <w:t>and</w:t>
      </w:r>
    </w:p>
    <w:p>
      <w:pPr>
        <w:pStyle w:val="75"/>
      </w:pPr>
      <w:r>
        <w:t>-</w:t>
      </w:r>
      <w:r>
        <w:tab/>
      </w:r>
      <w:r>
        <w:t>the power of any UE emission shall fulfil requirements in table 6.5.2.3.5.2-1.</w:t>
      </w:r>
    </w:p>
    <w:p>
      <w:pPr>
        <w:pStyle w:val="55"/>
      </w:pPr>
      <w:r>
        <w:t>Table 6.5.2.3.5.2-1: Additional test requirements for "NS_04"</w:t>
      </w:r>
    </w:p>
    <w:tbl>
      <w:tblPr>
        <w:tblStyle w:val="47"/>
        <w:tblW w:w="10536" w:type="dxa"/>
        <w:jc w:val="center"/>
        <w:tblLayout w:type="autofit"/>
        <w:tblCellMar>
          <w:top w:w="0" w:type="dxa"/>
          <w:left w:w="70" w:type="dxa"/>
          <w:bottom w:w="0" w:type="dxa"/>
          <w:right w:w="70" w:type="dxa"/>
        </w:tblCellMar>
      </w:tblPr>
      <w:tblGrid>
        <w:gridCol w:w="2143"/>
        <w:gridCol w:w="855"/>
        <w:gridCol w:w="989"/>
        <w:gridCol w:w="894"/>
        <w:gridCol w:w="894"/>
        <w:gridCol w:w="552"/>
        <w:gridCol w:w="551"/>
        <w:gridCol w:w="552"/>
        <w:gridCol w:w="552"/>
        <w:gridCol w:w="552"/>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pPr>
          </w:p>
        </w:tc>
        <w:tc>
          <w:tcPr>
            <w:tcW w:w="8393" w:type="dxa"/>
            <w:gridSpan w:val="10"/>
            <w:tcBorders>
              <w:top w:val="single" w:color="auto" w:sz="4" w:space="0"/>
              <w:left w:val="single" w:color="auto" w:sz="4" w:space="0"/>
              <w:bottom w:val="single" w:color="auto" w:sz="4" w:space="0"/>
              <w:right w:val="single" w:color="auto" w:sz="4" w:space="0"/>
            </w:tcBorders>
            <w:vAlign w:val="center"/>
          </w:tcPr>
          <w:p>
            <w:pPr>
              <w:pStyle w:val="51"/>
            </w:pPr>
            <w:r>
              <w:t xml:space="preserve">Spectrum emission limit (dBm) / measurement bandwidth </w:t>
            </w:r>
          </w:p>
          <w:p>
            <w:pPr>
              <w:pStyle w:val="51"/>
            </w:pPr>
            <w: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855" w:type="dxa"/>
            <w:tcBorders>
              <w:top w:val="single" w:color="auto" w:sz="4" w:space="0"/>
              <w:left w:val="nil"/>
              <w:bottom w:val="single" w:color="auto" w:sz="4" w:space="0"/>
              <w:right w:val="single" w:color="auto" w:sz="4" w:space="0"/>
            </w:tcBorders>
            <w:vAlign w:val="center"/>
          </w:tcPr>
          <w:p>
            <w:pPr>
              <w:pStyle w:val="51"/>
            </w:pPr>
            <w:r>
              <w:t xml:space="preserve">10 </w:t>
            </w:r>
            <w:r>
              <w:br w:type="textWrapping"/>
            </w:r>
            <w:r>
              <w:t>MHz</w:t>
            </w:r>
          </w:p>
        </w:tc>
        <w:tc>
          <w:tcPr>
            <w:tcW w:w="915" w:type="dxa"/>
            <w:tcBorders>
              <w:top w:val="single" w:color="auto" w:sz="4" w:space="0"/>
              <w:left w:val="nil"/>
              <w:bottom w:val="single" w:color="auto" w:sz="4" w:space="0"/>
              <w:right w:val="single" w:color="auto" w:sz="4" w:space="0"/>
            </w:tcBorders>
            <w:vAlign w:val="center"/>
          </w:tcPr>
          <w:p>
            <w:pPr>
              <w:pStyle w:val="51"/>
            </w:pPr>
            <w:r>
              <w:t xml:space="preserve">15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20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40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50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60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80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90 </w:t>
            </w:r>
            <w:r>
              <w:br w:type="textWrapping"/>
            </w: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 xml:space="preserve">100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Measurement</w:t>
            </w:r>
            <w:r>
              <w:br w:type="textWrapping"/>
            </w:r>
            <w: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r>
              <w:t>± 0 - 1</w:t>
            </w:r>
          </w:p>
        </w:tc>
        <w:tc>
          <w:tcPr>
            <w:tcW w:w="855" w:type="dxa"/>
            <w:tcBorders>
              <w:top w:val="nil"/>
              <w:left w:val="nil"/>
              <w:bottom w:val="single" w:color="auto" w:sz="4" w:space="0"/>
              <w:right w:val="single" w:color="auto" w:sz="4" w:space="0"/>
            </w:tcBorders>
            <w:noWrap/>
            <w:vAlign w:val="center"/>
          </w:tcPr>
          <w:p>
            <w:pPr>
              <w:pStyle w:val="52"/>
            </w:pPr>
            <w:r>
              <w:t>-10 + TT</w:t>
            </w:r>
          </w:p>
        </w:tc>
        <w:tc>
          <w:tcPr>
            <w:tcW w:w="915" w:type="dxa"/>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tcPr>
          <w:p>
            <w:pPr>
              <w:pStyle w:val="52"/>
            </w:pPr>
            <w: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p>
        </w:tc>
        <w:tc>
          <w:tcPr>
            <w:tcW w:w="855" w:type="dxa"/>
            <w:tcBorders>
              <w:top w:val="nil"/>
              <w:left w:val="nil"/>
              <w:bottom w:val="single" w:color="auto" w:sz="4" w:space="0"/>
              <w:right w:val="single" w:color="auto" w:sz="4" w:space="0"/>
            </w:tcBorders>
            <w:noWrap/>
            <w:vAlign w:val="center"/>
          </w:tcPr>
          <w:p>
            <w:pPr>
              <w:pStyle w:val="52"/>
            </w:pPr>
          </w:p>
        </w:tc>
        <w:tc>
          <w:tcPr>
            <w:tcW w:w="915" w:type="dxa"/>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tcPr>
          <w:p>
            <w:pPr>
              <w:pStyle w:val="52"/>
            </w:pPr>
            <w: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pPr>
            <w:r>
              <w:t>± 1 - 5</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-10 + TT</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pPr>
            <w: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5 - X</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-13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X - (BW</w:t>
            </w:r>
            <w:r>
              <w:rPr>
                <w:vertAlign w:val="subscript"/>
              </w:rPr>
              <w:t>Channel</w:t>
            </w:r>
            <w:r>
              <w:t xml:space="preserve"> + 5 MHz)</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-25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6.5.2.3.3.2-1 for CP-OFDM and 6.5.2.3.3.2-2 for DFT-S-OFDM.</w:t>
            </w:r>
          </w:p>
          <w:p>
            <w:pPr>
              <w:pStyle w:val="66"/>
            </w:pPr>
            <w:r>
              <w:t>NOTE 2:</w:t>
            </w:r>
            <w:r>
              <w:tab/>
            </w:r>
            <w:r>
              <w:t>TT for each frequency and channel bandwidth is specified in Table 6.5.2.3.5-1.</w:t>
            </w:r>
          </w:p>
        </w:tc>
      </w:tr>
    </w:tbl>
    <w:p>
      <w:pPr>
        <w:rPr>
          <w:rFonts w:eastAsia="宋体"/>
        </w:rPr>
      </w:pPr>
    </w:p>
    <w:p>
      <w:pPr>
        <w:pStyle w:val="8"/>
      </w:pPr>
      <w:r>
        <w:t>6.5.2.3.5.3</w:t>
      </w:r>
      <w:r>
        <w:tab/>
      </w:r>
      <w:r>
        <w:t>Test requirements (network signalling value "NS_03" and “NS_21”)</w:t>
      </w:r>
    </w:p>
    <w:p>
      <w:r>
        <w:t>When "NS_03" or “NS_21” is indicated in the cell:</w:t>
      </w:r>
    </w:p>
    <w:p>
      <w:pPr>
        <w:pStyle w:val="75"/>
      </w:pPr>
      <w:r>
        <w:t>-</w:t>
      </w:r>
      <w:r>
        <w:tab/>
      </w:r>
      <w:r>
        <w:t>the measured UE mean power in the channel bandwidth, derived in step 3, shall fulfil requirements in table 6.2.3.5-4 or 6.2.3.5-5 as appropriate for a NR UE.</w:t>
      </w:r>
    </w:p>
    <w:p>
      <w:r>
        <w:t>and</w:t>
      </w:r>
    </w:p>
    <w:p>
      <w:pPr>
        <w:pStyle w:val="75"/>
      </w:pPr>
      <w:r>
        <w:t>-</w:t>
      </w:r>
      <w:r>
        <w:tab/>
      </w:r>
      <w:r>
        <w:t>the power of any UE emission shall fulfil requirements in table 6.5.2.3.5.3-1, as applicable.</w:t>
      </w:r>
    </w:p>
    <w:p>
      <w:pPr>
        <w:pStyle w:val="55"/>
      </w:pPr>
      <w:r>
        <w:t xml:space="preserve">Table 6.5.2.3.5.3-1: Additional requirements for </w:t>
      </w:r>
      <w:r>
        <w:rPr>
          <w:lang w:eastAsia="ja-JP"/>
        </w:rPr>
        <w:t>"</w:t>
      </w:r>
      <w:r>
        <w:t>NS_03</w:t>
      </w:r>
      <w:r>
        <w:rPr>
          <w:lang w:eastAsia="ja-JP"/>
        </w:rPr>
        <w:t>" and “NS_21”</w:t>
      </w:r>
    </w:p>
    <w:tbl>
      <w:tblPr>
        <w:tblStyle w:val="47"/>
        <w:tblW w:w="8363"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041"/>
        <w:gridCol w:w="992"/>
        <w:gridCol w:w="993"/>
        <w:gridCol w:w="992"/>
        <w:gridCol w:w="99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63" w:type="dxa"/>
            <w:gridSpan w:val="7"/>
            <w:tcBorders>
              <w:top w:val="single" w:color="auto" w:sz="4" w:space="0"/>
              <w:left w:val="single" w:color="auto" w:sz="4" w:space="0"/>
              <w:bottom w:val="single" w:color="auto" w:sz="4" w:space="0"/>
              <w:right w:val="single" w:color="auto" w:sz="4" w:space="0"/>
            </w:tcBorders>
            <w:vAlign w:val="center"/>
          </w:tcPr>
          <w:p>
            <w:pPr>
              <w:pStyle w:val="51"/>
            </w:pPr>
            <w:r>
              <w:t>Spectrum emission limit (dBm)/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p>
          <w:p>
            <w:pPr>
              <w:pStyle w:val="51"/>
            </w:pPr>
            <w:r>
              <w:t>(MHz)</w:t>
            </w:r>
          </w:p>
        </w:tc>
        <w:tc>
          <w:tcPr>
            <w:tcW w:w="1041" w:type="dxa"/>
            <w:tcBorders>
              <w:top w:val="single" w:color="auto" w:sz="4" w:space="0"/>
              <w:left w:val="single" w:color="auto" w:sz="4" w:space="0"/>
              <w:bottom w:val="single" w:color="auto" w:sz="4" w:space="0"/>
              <w:right w:val="single" w:color="auto" w:sz="4" w:space="0"/>
            </w:tcBorders>
            <w:vAlign w:val="center"/>
          </w:tcPr>
          <w:p>
            <w:pPr>
              <w:pStyle w:val="51"/>
            </w:pPr>
            <w:r>
              <w:t>5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pPr>
            <w:r>
              <w:t>10 MHz</w:t>
            </w:r>
          </w:p>
        </w:tc>
        <w:tc>
          <w:tcPr>
            <w:tcW w:w="993" w:type="dxa"/>
            <w:tcBorders>
              <w:top w:val="single" w:color="auto" w:sz="4" w:space="0"/>
              <w:left w:val="single" w:color="auto" w:sz="4" w:space="0"/>
              <w:bottom w:val="single" w:color="auto" w:sz="4" w:space="0"/>
              <w:right w:val="single" w:color="auto" w:sz="4" w:space="0"/>
            </w:tcBorders>
            <w:vAlign w:val="center"/>
          </w:tcPr>
          <w:p>
            <w:pPr>
              <w:pStyle w:val="51"/>
            </w:pPr>
            <w:r>
              <w:t>15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pPr>
            <w:r>
              <w:t>20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pPr>
            <w:r>
              <w:t>40 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rPr>
                <w:b/>
              </w:rPr>
            </w:pPr>
            <w:r>
              <w:rPr/>
              <w:sym w:font="Symbol" w:char="F0B1"/>
            </w:r>
            <w:r>
              <w:t xml:space="preserve"> 0-1</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b/>
              </w:rPr>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b/>
              </w:rPr>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1-6</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8" w:hRule="atLeast"/>
        </w:trPr>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6-10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10-15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15-20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20-25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25-40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-13</w:t>
            </w:r>
            <w:r>
              <w:rPr>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B1"/>
            </w:r>
            <w:r>
              <w:t xml:space="preserve"> 40-45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-25</w:t>
            </w:r>
            <w:r>
              <w:rPr>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63"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6.5.2.3.5-1.</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
      </w:pPr>
      <w:r>
        <w:t>6.5.2.3.5.4</w:t>
      </w:r>
      <w:r>
        <w:tab/>
      </w:r>
      <w:r>
        <w:t>Test requirements (network signalling value "NS_06")</w:t>
      </w:r>
    </w:p>
    <w:p>
      <w:r>
        <w:t>When "NS_06" is indicated in the cell:</w:t>
      </w:r>
    </w:p>
    <w:p>
      <w:pPr>
        <w:pStyle w:val="75"/>
      </w:pPr>
      <w:r>
        <w:t>-</w:t>
      </w:r>
      <w:r>
        <w:tab/>
      </w:r>
      <w:r>
        <w:t>the measured UE mean power in the channel bandwidth, derived in step 3, shall fulfil requirements in table 6.2.3.5-34 as appropriate for a NR UE</w:t>
      </w:r>
    </w:p>
    <w:p>
      <w:r>
        <w:t>and</w:t>
      </w:r>
    </w:p>
    <w:p>
      <w:pPr>
        <w:pStyle w:val="75"/>
      </w:pPr>
      <w:r>
        <w:t>-</w:t>
      </w:r>
      <w:r>
        <w:tab/>
      </w:r>
      <w:r>
        <w:t>the power of any UE emission shall fulfil requirements in table 6.5.2.3.5.4-1, as applicable.</w:t>
      </w:r>
    </w:p>
    <w:p>
      <w:pPr>
        <w:pStyle w:val="55"/>
      </w:pPr>
      <w:r>
        <w:t xml:space="preserve">Table 6.5.2.3.5.4-1: Additional requirements for </w:t>
      </w:r>
      <w:r>
        <w:rPr>
          <w:lang w:eastAsia="ja-JP"/>
        </w:rPr>
        <w:t>"</w:t>
      </w:r>
      <w:r>
        <w:t>NS_06</w:t>
      </w:r>
      <w:r>
        <w:rPr>
          <w:lang w:eastAsia="ja-JP"/>
        </w:rPr>
        <w:t>"</w:t>
      </w:r>
    </w:p>
    <w:tbl>
      <w:tblPr>
        <w:tblStyle w:val="47"/>
        <w:tblW w:w="7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62"/>
        <w:gridCol w:w="1459"/>
        <w:gridCol w:w="1660"/>
        <w:gridCol w:w="1417"/>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4" w:type="dxa"/>
            <w:gridSpan w:val="5"/>
            <w:shd w:val="clear" w:color="auto" w:fill="auto"/>
            <w:vAlign w:val="center"/>
          </w:tcPr>
          <w:p>
            <w:pPr>
              <w:pStyle w:val="51"/>
            </w:pPr>
            <w:r>
              <w:t xml:space="preserve"> Spectrum emission limit (dBm) / Channel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1"/>
            </w:pPr>
            <w:r>
              <w:t>Δf</w:t>
            </w:r>
            <w:r>
              <w:rPr>
                <w:vertAlign w:val="subscript"/>
              </w:rPr>
              <w:t>OOB</w:t>
            </w:r>
          </w:p>
          <w:p>
            <w:pPr>
              <w:pStyle w:val="51"/>
            </w:pPr>
            <w:r>
              <w:t>(MHz)</w:t>
            </w:r>
          </w:p>
        </w:tc>
        <w:tc>
          <w:tcPr>
            <w:tcW w:w="1459" w:type="dxa"/>
            <w:shd w:val="clear" w:color="auto" w:fill="auto"/>
            <w:vAlign w:val="center"/>
          </w:tcPr>
          <w:p>
            <w:pPr>
              <w:pStyle w:val="51"/>
            </w:pPr>
            <w:r>
              <w:t>5 MHz</w:t>
            </w:r>
          </w:p>
        </w:tc>
        <w:tc>
          <w:tcPr>
            <w:tcW w:w="1660" w:type="dxa"/>
            <w:shd w:val="clear" w:color="auto" w:fill="auto"/>
            <w:vAlign w:val="center"/>
          </w:tcPr>
          <w:p>
            <w:pPr>
              <w:pStyle w:val="51"/>
            </w:pPr>
            <w:r>
              <w:t>10 MHz</w:t>
            </w:r>
          </w:p>
        </w:tc>
        <w:tc>
          <w:tcPr>
            <w:tcW w:w="1417" w:type="dxa"/>
            <w:shd w:val="clear" w:color="auto" w:fill="auto"/>
            <w:vAlign w:val="center"/>
          </w:tcPr>
          <w:p>
            <w:pPr>
              <w:pStyle w:val="51"/>
            </w:pPr>
            <w:r>
              <w:t>15 MHz</w:t>
            </w:r>
          </w:p>
        </w:tc>
        <w:tc>
          <w:tcPr>
            <w:tcW w:w="1646" w:type="dxa"/>
            <w:shd w:val="clear" w:color="auto" w:fill="auto"/>
            <w:vAlign w:val="center"/>
          </w:tcPr>
          <w:p>
            <w:pPr>
              <w:pStyle w:val="51"/>
            </w:pPr>
            <w:r>
              <w:t>Measurement</w:t>
            </w:r>
          </w:p>
          <w:p>
            <w:pPr>
              <w:pStyle w:val="51"/>
            </w:pPr>
            <w: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0 – 0.1</w:t>
            </w:r>
          </w:p>
        </w:tc>
        <w:tc>
          <w:tcPr>
            <w:tcW w:w="1459" w:type="dxa"/>
            <w:shd w:val="clear" w:color="auto" w:fill="auto"/>
            <w:vAlign w:val="center"/>
          </w:tcPr>
          <w:p>
            <w:pPr>
              <w:pStyle w:val="52"/>
            </w:pPr>
            <w:r>
              <w:t>-15</w:t>
            </w:r>
            <w:r>
              <w:rPr>
                <w:lang w:eastAsia="ja-JP"/>
              </w:rPr>
              <w:t xml:space="preserve"> + TT</w:t>
            </w:r>
          </w:p>
        </w:tc>
        <w:tc>
          <w:tcPr>
            <w:tcW w:w="1660" w:type="dxa"/>
            <w:shd w:val="clear" w:color="auto" w:fill="auto"/>
            <w:vAlign w:val="center"/>
          </w:tcPr>
          <w:p>
            <w:pPr>
              <w:pStyle w:val="52"/>
            </w:pPr>
            <w:r>
              <w:t>-18</w:t>
            </w:r>
            <w:r>
              <w:rPr>
                <w:lang w:eastAsia="ja-JP"/>
              </w:rPr>
              <w:t xml:space="preserve"> + TT</w:t>
            </w:r>
          </w:p>
        </w:tc>
        <w:tc>
          <w:tcPr>
            <w:tcW w:w="1417" w:type="dxa"/>
            <w:shd w:val="clear" w:color="auto" w:fill="auto"/>
            <w:vAlign w:val="center"/>
          </w:tcPr>
          <w:p>
            <w:pPr>
              <w:pStyle w:val="52"/>
            </w:pPr>
            <w:r>
              <w:t>-20</w:t>
            </w:r>
            <w:r>
              <w:rPr>
                <w:lang w:eastAsia="ja-JP"/>
              </w:rPr>
              <w:t xml:space="preserve"> + TT</w:t>
            </w:r>
          </w:p>
        </w:tc>
        <w:tc>
          <w:tcPr>
            <w:tcW w:w="1646" w:type="dxa"/>
            <w:shd w:val="clear" w:color="auto" w:fill="auto"/>
            <w:vAlign w:val="center"/>
          </w:tcPr>
          <w:p>
            <w:pPr>
              <w:pStyle w:val="52"/>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0.1 – 1</w:t>
            </w:r>
          </w:p>
        </w:tc>
        <w:tc>
          <w:tcPr>
            <w:tcW w:w="1459" w:type="dxa"/>
            <w:shd w:val="clear" w:color="auto" w:fill="auto"/>
            <w:vAlign w:val="center"/>
          </w:tcPr>
          <w:p>
            <w:pPr>
              <w:pStyle w:val="52"/>
            </w:pPr>
            <w:r>
              <w:t>-13</w:t>
            </w:r>
            <w:r>
              <w:rPr>
                <w:lang w:eastAsia="ja-JP"/>
              </w:rPr>
              <w:t xml:space="preserve"> + TT</w:t>
            </w:r>
          </w:p>
        </w:tc>
        <w:tc>
          <w:tcPr>
            <w:tcW w:w="1660" w:type="dxa"/>
            <w:shd w:val="clear" w:color="auto" w:fill="auto"/>
            <w:vAlign w:val="center"/>
          </w:tcPr>
          <w:p>
            <w:pPr>
              <w:pStyle w:val="52"/>
            </w:pPr>
            <w:r>
              <w:t>-13</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1 – 6</w:t>
            </w:r>
          </w:p>
        </w:tc>
        <w:tc>
          <w:tcPr>
            <w:tcW w:w="1459" w:type="dxa"/>
            <w:shd w:val="clear" w:color="auto" w:fill="auto"/>
            <w:vAlign w:val="center"/>
          </w:tcPr>
          <w:p>
            <w:pPr>
              <w:pStyle w:val="52"/>
            </w:pPr>
            <w:r>
              <w:t>-13</w:t>
            </w:r>
            <w:r>
              <w:rPr>
                <w:lang w:eastAsia="ja-JP"/>
              </w:rPr>
              <w:t xml:space="preserve"> + TT</w:t>
            </w:r>
          </w:p>
        </w:tc>
        <w:tc>
          <w:tcPr>
            <w:tcW w:w="1660" w:type="dxa"/>
            <w:shd w:val="clear" w:color="auto" w:fill="auto"/>
            <w:vAlign w:val="center"/>
          </w:tcPr>
          <w:p>
            <w:pPr>
              <w:pStyle w:val="52"/>
            </w:pPr>
            <w:r>
              <w:t>-13</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6 – 10</w:t>
            </w:r>
          </w:p>
        </w:tc>
        <w:tc>
          <w:tcPr>
            <w:tcW w:w="1459" w:type="dxa"/>
            <w:shd w:val="clear" w:color="auto" w:fill="auto"/>
            <w:vAlign w:val="center"/>
          </w:tcPr>
          <w:p>
            <w:pPr>
              <w:pStyle w:val="52"/>
            </w:pPr>
            <w:r>
              <w:t>-25</w:t>
            </w:r>
            <w:r>
              <w:rPr>
                <w:lang w:eastAsia="ja-JP"/>
              </w:rPr>
              <w:t xml:space="preserve"> + TT</w:t>
            </w:r>
          </w:p>
        </w:tc>
        <w:tc>
          <w:tcPr>
            <w:tcW w:w="1660" w:type="dxa"/>
            <w:shd w:val="clear" w:color="auto" w:fill="auto"/>
            <w:vAlign w:val="center"/>
          </w:tcPr>
          <w:p>
            <w:pPr>
              <w:pStyle w:val="52"/>
            </w:pPr>
            <w:r>
              <w:t>-13</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10 – 15</w:t>
            </w:r>
          </w:p>
        </w:tc>
        <w:tc>
          <w:tcPr>
            <w:tcW w:w="1459" w:type="dxa"/>
            <w:shd w:val="clear" w:color="auto" w:fill="auto"/>
            <w:vAlign w:val="center"/>
          </w:tcPr>
          <w:p>
            <w:pPr>
              <w:pStyle w:val="52"/>
            </w:pPr>
          </w:p>
        </w:tc>
        <w:tc>
          <w:tcPr>
            <w:tcW w:w="1660" w:type="dxa"/>
            <w:shd w:val="clear" w:color="auto" w:fill="auto"/>
            <w:vAlign w:val="center"/>
          </w:tcPr>
          <w:p>
            <w:pPr>
              <w:pStyle w:val="52"/>
            </w:pPr>
            <w:r>
              <w:t>-25</w:t>
            </w:r>
            <w:r>
              <w:rPr>
                <w:lang w:eastAsia="ja-JP"/>
              </w:rPr>
              <w:t xml:space="preserve"> + TT</w:t>
            </w:r>
          </w:p>
        </w:tc>
        <w:tc>
          <w:tcPr>
            <w:tcW w:w="1417" w:type="dxa"/>
            <w:shd w:val="clear" w:color="auto" w:fill="auto"/>
            <w:vAlign w:val="center"/>
          </w:tcPr>
          <w:p>
            <w:pPr>
              <w:pStyle w:val="52"/>
            </w:pPr>
            <w:r>
              <w:t>-13</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pPr>
            <w:r>
              <w:t>± 15 – 20</w:t>
            </w:r>
          </w:p>
        </w:tc>
        <w:tc>
          <w:tcPr>
            <w:tcW w:w="1459" w:type="dxa"/>
            <w:shd w:val="clear" w:color="auto" w:fill="auto"/>
            <w:vAlign w:val="center"/>
          </w:tcPr>
          <w:p>
            <w:pPr>
              <w:pStyle w:val="52"/>
            </w:pPr>
          </w:p>
        </w:tc>
        <w:tc>
          <w:tcPr>
            <w:tcW w:w="1660" w:type="dxa"/>
            <w:shd w:val="clear" w:color="auto" w:fill="auto"/>
            <w:vAlign w:val="center"/>
          </w:tcPr>
          <w:p>
            <w:pPr>
              <w:pStyle w:val="52"/>
            </w:pPr>
          </w:p>
        </w:tc>
        <w:tc>
          <w:tcPr>
            <w:tcW w:w="1417" w:type="dxa"/>
            <w:shd w:val="clear" w:color="auto" w:fill="auto"/>
            <w:vAlign w:val="center"/>
          </w:tcPr>
          <w:p>
            <w:pPr>
              <w:pStyle w:val="52"/>
            </w:pPr>
            <w:r>
              <w:t>-25</w:t>
            </w:r>
            <w:r>
              <w:rPr>
                <w:lang w:eastAsia="ja-JP"/>
              </w:rPr>
              <w:t xml:space="preserve"> + TT</w:t>
            </w:r>
          </w:p>
        </w:tc>
        <w:tc>
          <w:tcPr>
            <w:tcW w:w="1646" w:type="dxa"/>
            <w:shd w:val="clear" w:color="auto" w:fill="auto"/>
            <w:vAlign w:val="center"/>
          </w:tcPr>
          <w:p>
            <w:pPr>
              <w:pStyle w:val="52"/>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4" w:type="dxa"/>
            <w:gridSpan w:val="5"/>
            <w:shd w:val="clear" w:color="auto" w:fill="auto"/>
            <w:vAlign w:val="center"/>
          </w:tcPr>
          <w:p>
            <w:pPr>
              <w:pStyle w:val="66"/>
            </w:pPr>
            <w:r>
              <w:t>NOTE 1:</w:t>
            </w:r>
            <w:r>
              <w:tab/>
            </w:r>
            <w:r>
              <w:t>TT for each frequency and channel bandwidth is specified in Table 6.5.2.3.5-1.</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5"/>
      </w:pPr>
      <w:bookmarkStart w:id="236" w:name="_Toc52990488"/>
      <w:bookmarkStart w:id="237" w:name="_Toc60823700"/>
      <w:bookmarkStart w:id="238" w:name="_Toc69309996"/>
      <w:bookmarkStart w:id="239" w:name="_Toc44324294"/>
      <w:bookmarkStart w:id="240" w:name="_Toc60825621"/>
      <w:bookmarkStart w:id="241" w:name="_Toc69306331"/>
      <w:bookmarkStart w:id="242" w:name="_Toc76020321"/>
      <w:bookmarkStart w:id="243" w:name="_Toc83720809"/>
      <w:bookmarkStart w:id="244" w:name="_Toc36227009"/>
      <w:bookmarkStart w:id="245" w:name="_Toc27478294"/>
      <w:r>
        <w:t>6.5D.2.2</w:t>
      </w:r>
      <w:r>
        <w:tab/>
      </w:r>
      <w:r>
        <w:t>Spectrum emission mask for UL MIMO</w:t>
      </w:r>
      <w:bookmarkEnd w:id="236"/>
      <w:bookmarkEnd w:id="237"/>
      <w:bookmarkEnd w:id="238"/>
      <w:bookmarkEnd w:id="239"/>
      <w:bookmarkEnd w:id="240"/>
      <w:bookmarkEnd w:id="241"/>
      <w:bookmarkEnd w:id="242"/>
      <w:bookmarkEnd w:id="243"/>
      <w:bookmarkEnd w:id="244"/>
      <w:bookmarkEnd w:id="245"/>
    </w:p>
    <w:p>
      <w:pPr>
        <w:rPr>
          <w:snapToGrid w:val="0"/>
          <w:highlight w:val="yellow"/>
          <w:rPrChange w:id="81" w:author="Yu SHI-China Unicom" w:date="2021-11-09T16:43:49Z">
            <w:rPr>
              <w:snapToGrid w:val="0"/>
            </w:rPr>
          </w:rPrChange>
        </w:rPr>
      </w:pPr>
      <w:r>
        <w:rPr>
          <w:highlight w:val="yellow"/>
          <w:rPrChange w:id="82" w:author="Yu SHI-China Unicom" w:date="2021-11-09T16:43:49Z">
            <w:rPr/>
          </w:rPrChange>
        </w:rPr>
        <w:t>The spectrum emission mask of the UE applies to frequencies (Δf</w:t>
      </w:r>
      <w:r>
        <w:rPr>
          <w:highlight w:val="yellow"/>
          <w:vertAlign w:val="subscript"/>
          <w:rPrChange w:id="83" w:author="Yu SHI-China Unicom" w:date="2021-11-09T16:43:49Z">
            <w:rPr>
              <w:vertAlign w:val="subscript"/>
            </w:rPr>
          </w:rPrChange>
        </w:rPr>
        <w:t>OOB</w:t>
      </w:r>
      <w:r>
        <w:rPr>
          <w:snapToGrid w:val="0"/>
          <w:highlight w:val="yellow"/>
          <w:rPrChange w:id="84" w:author="Yu SHI-China Unicom" w:date="2021-11-09T16:43:49Z">
            <w:rPr>
              <w:snapToGrid w:val="0"/>
            </w:rPr>
          </w:rPrChange>
        </w:rPr>
        <w:t>)</w:t>
      </w:r>
      <w:r>
        <w:rPr>
          <w:highlight w:val="yellow"/>
          <w:rPrChange w:id="85" w:author="Yu SHI-China Unicom" w:date="2021-11-09T16:43:49Z">
            <w:rPr/>
          </w:rPrChange>
        </w:rPr>
        <w:t xml:space="preserve"> starting from the </w:t>
      </w:r>
      <w:r>
        <w:rPr>
          <w:highlight w:val="yellow"/>
          <w:rPrChange w:id="86" w:author="Yu SHI-China Unicom" w:date="2021-11-09T16:43:49Z">
            <w:rPr/>
          </w:rPrChange>
        </w:rPr>
        <w:sym w:font="Symbol" w:char="F0B1"/>
      </w:r>
      <w:r>
        <w:rPr>
          <w:highlight w:val="yellow"/>
          <w:rPrChange w:id="87" w:author="Yu SHI-China Unicom" w:date="2021-11-09T16:43:49Z">
            <w:rPr/>
          </w:rPrChange>
        </w:rPr>
        <w:t xml:space="preserve"> edge of the assigned NR channel bandwidth. For frequencies greater than (Δf</w:t>
      </w:r>
      <w:r>
        <w:rPr>
          <w:highlight w:val="yellow"/>
          <w:vertAlign w:val="subscript"/>
          <w:rPrChange w:id="88" w:author="Yu SHI-China Unicom" w:date="2021-11-09T16:43:49Z">
            <w:rPr>
              <w:vertAlign w:val="subscript"/>
            </w:rPr>
          </w:rPrChange>
        </w:rPr>
        <w:t>OOB</w:t>
      </w:r>
      <w:r>
        <w:rPr>
          <w:snapToGrid w:val="0"/>
          <w:highlight w:val="yellow"/>
          <w:rPrChange w:id="89" w:author="Yu SHI-China Unicom" w:date="2021-11-09T16:43:49Z">
            <w:rPr>
              <w:snapToGrid w:val="0"/>
            </w:rPr>
          </w:rPrChange>
        </w:rPr>
        <w:t>) the spurious requirements in subclause 6.5D.3 are applicable.</w:t>
      </w:r>
    </w:p>
    <w:p>
      <w:pPr>
        <w:pStyle w:val="56"/>
        <w:rPr>
          <w:highlight w:val="yellow"/>
          <w:rPrChange w:id="90" w:author="Yu SHI-China Unicom" w:date="2021-11-09T16:43:49Z">
            <w:rPr/>
          </w:rPrChange>
        </w:rPr>
      </w:pPr>
      <w:r>
        <w:rPr>
          <w:highlight w:val="yellow"/>
          <w:rPrChange w:id="91" w:author="Yu SHI-China Unicom" w:date="2021-11-09T16:43:49Z">
            <w:rPr/>
          </w:rPrChange>
        </w:rPr>
        <w:t>NOTE:</w:t>
      </w:r>
      <w:r>
        <w:rPr>
          <w:highlight w:val="yellow"/>
          <w:rPrChange w:id="92" w:author="Yu SHI-China Unicom" w:date="2021-11-09T16:43:49Z">
            <w:rPr/>
          </w:rPrChange>
        </w:rPr>
        <w:tab/>
      </w:r>
      <w:r>
        <w:rPr>
          <w:highlight w:val="yellow"/>
          <w:rPrChange w:id="93" w:author="Yu SHI-China Unicom" w:date="2021-11-09T16:43:49Z">
            <w:rPr/>
          </w:rPrChange>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bookmarkStart w:id="246" w:name="_Toc36227010"/>
      <w:bookmarkStart w:id="247" w:name="_Toc52990489"/>
      <w:bookmarkStart w:id="248" w:name="_Toc60825622"/>
      <w:bookmarkStart w:id="249" w:name="_Toc44324295"/>
      <w:bookmarkStart w:id="250" w:name="_Toc60823701"/>
      <w:bookmarkStart w:id="251" w:name="_Toc27478295"/>
      <w:r>
        <w:t>6.5D.2.2.1</w:t>
      </w:r>
      <w:r>
        <w:tab/>
      </w:r>
      <w:r>
        <w:t>Test purpose</w:t>
      </w:r>
      <w:bookmarkEnd w:id="246"/>
      <w:bookmarkEnd w:id="247"/>
      <w:bookmarkEnd w:id="248"/>
      <w:bookmarkEnd w:id="249"/>
      <w:bookmarkEnd w:id="250"/>
      <w:bookmarkEnd w:id="251"/>
    </w:p>
    <w:p>
      <w:pPr>
        <w:rPr>
          <w:lang w:eastAsia="ja-JP"/>
        </w:rPr>
      </w:pPr>
      <w:r>
        <w:rPr>
          <w:lang w:eastAsia="ja-JP"/>
        </w:rPr>
        <w:t>To verify that the power of any UE emission shall not exceed specified level for the specified channel bandwidth.</w:t>
      </w:r>
    </w:p>
    <w:p>
      <w:pPr>
        <w:pStyle w:val="8"/>
      </w:pPr>
      <w:bookmarkStart w:id="252" w:name="_Toc60825623"/>
      <w:bookmarkStart w:id="253" w:name="_Toc27478296"/>
      <w:bookmarkStart w:id="254" w:name="_Toc44324296"/>
      <w:bookmarkStart w:id="255" w:name="_Toc36227011"/>
      <w:bookmarkStart w:id="256" w:name="_Toc60823702"/>
      <w:bookmarkStart w:id="257" w:name="_Toc52990490"/>
      <w:r>
        <w:t>6.5D.2.2.2</w:t>
      </w:r>
      <w:r>
        <w:tab/>
      </w:r>
      <w:r>
        <w:t>Test applicability</w:t>
      </w:r>
      <w:bookmarkEnd w:id="252"/>
      <w:bookmarkEnd w:id="253"/>
      <w:bookmarkEnd w:id="254"/>
      <w:bookmarkEnd w:id="255"/>
      <w:bookmarkEnd w:id="256"/>
      <w:bookmarkEnd w:id="257"/>
    </w:p>
    <w:p>
      <w:pPr>
        <w:rPr>
          <w:lang w:eastAsia="ja-JP"/>
        </w:rPr>
      </w:pPr>
      <w:r>
        <w:t>This test case applies to all types of NR UE release 15 and forward that supports UL MIMO.</w:t>
      </w:r>
    </w:p>
    <w:p>
      <w:pPr>
        <w:pStyle w:val="8"/>
      </w:pPr>
      <w:bookmarkStart w:id="258" w:name="_Toc36227012"/>
      <w:bookmarkStart w:id="259" w:name="_Toc27478297"/>
      <w:bookmarkStart w:id="260" w:name="_Toc44324297"/>
      <w:bookmarkStart w:id="261" w:name="_Toc60825624"/>
      <w:bookmarkStart w:id="262" w:name="_Toc60823703"/>
      <w:bookmarkStart w:id="263" w:name="_Toc52990491"/>
      <w:r>
        <w:t>6.5D.2.2.3</w:t>
      </w:r>
      <w:r>
        <w:tab/>
      </w:r>
      <w:r>
        <w:t>Minimum conformance requirements</w:t>
      </w:r>
      <w:bookmarkEnd w:id="258"/>
      <w:bookmarkEnd w:id="259"/>
      <w:bookmarkEnd w:id="260"/>
      <w:bookmarkEnd w:id="261"/>
      <w:bookmarkEnd w:id="262"/>
      <w:bookmarkEnd w:id="263"/>
    </w:p>
    <w:p>
      <w:r>
        <w:t>The power of any UE emission shall not exceed the levels specified in Table 6.5.2.2.3-1 for the specified channel bandwidth at each transmit antenna connector.</w:t>
      </w:r>
    </w:p>
    <w:p>
      <w:r>
        <w:t>The normative reference for this requirement is TS 38.101-1 [2] clause 6.5D.2 and 6.5.2.2</w:t>
      </w:r>
    </w:p>
    <w:p>
      <w:pPr>
        <w:pStyle w:val="8"/>
      </w:pPr>
      <w:bookmarkStart w:id="264" w:name="_Toc60825625"/>
      <w:bookmarkStart w:id="265" w:name="_Toc27478298"/>
      <w:bookmarkStart w:id="266" w:name="_Toc60823704"/>
      <w:bookmarkStart w:id="267" w:name="_Toc44324298"/>
      <w:bookmarkStart w:id="268" w:name="_Toc36227013"/>
      <w:bookmarkStart w:id="269" w:name="_Toc52990492"/>
      <w:r>
        <w:t>6.5D.2.2.4</w:t>
      </w:r>
      <w:r>
        <w:tab/>
      </w:r>
      <w:r>
        <w:t>Test description</w:t>
      </w:r>
      <w:bookmarkEnd w:id="264"/>
      <w:bookmarkEnd w:id="265"/>
      <w:bookmarkEnd w:id="266"/>
      <w:bookmarkEnd w:id="267"/>
      <w:bookmarkEnd w:id="268"/>
      <w:bookmarkEnd w:id="269"/>
    </w:p>
    <w:p>
      <w:pPr>
        <w:pStyle w:val="8"/>
      </w:pPr>
      <w:bookmarkStart w:id="270" w:name="_Toc27478299"/>
      <w:r>
        <w:t>6.5D.2.2.4.1</w:t>
      </w:r>
      <w:r>
        <w:tab/>
      </w:r>
      <w:r>
        <w:t>Initial conditions</w:t>
      </w:r>
      <w:bookmarkEnd w:id="270"/>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rPr>
          <w:lang w:eastAsia="zh-CN"/>
        </w:rPr>
        <w:t>5.3.5-1</w:t>
      </w:r>
      <w:r>
        <w:rPr>
          <w:lang w:eastAsia="ja-JP"/>
        </w:rPr>
        <w:t xml:space="preserve">. All of these configurations shall be tested with applicable test parameters for each combination of channel bandwidth and sub-carrier spacing, and are shown in table 6.5D.2.2.4.1-1. The details of the uplink reference measurement channels (RMCs) are specified in Annexes A.2. Configurations of PDSCH and PDCCH before measurement are specified in Annex C.2 </w:t>
      </w:r>
    </w:p>
    <w:p>
      <w:pPr>
        <w:pStyle w:val="55"/>
        <w:rPr>
          <w:lang w:eastAsia="zh-CN"/>
        </w:rPr>
      </w:pPr>
      <w:r>
        <w:t>Table 6.5D.2.2.4.1-1: Test Configuration T</w:t>
      </w:r>
      <w:r>
        <w:rPr>
          <w:lang w:eastAsia="zh-CN"/>
        </w:rPr>
        <w:t>able</w:t>
      </w:r>
    </w:p>
    <w:tbl>
      <w:tblPr>
        <w:tblStyle w:val="47"/>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787"/>
        <w:gridCol w:w="787"/>
        <w:gridCol w:w="787"/>
        <w:gridCol w:w="1420"/>
        <w:gridCol w:w="50"/>
        <w:gridCol w:w="1638"/>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Test Environment as specified in TS 38.508-1 [5] subclause 4.1</w:t>
            </w:r>
          </w:p>
        </w:tc>
        <w:tc>
          <w:tcPr>
            <w:tcW w:w="2310"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Test Frequencies as specified in TS 38.508-1 [5] subclause 4.3.1</w:t>
            </w:r>
          </w:p>
        </w:tc>
        <w:tc>
          <w:tcPr>
            <w:tcW w:w="2310" w:type="pct"/>
            <w:gridSpan w:val="3"/>
          </w:tcPr>
          <w:p>
            <w:pPr>
              <w:pStyle w:val="53"/>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Test Channel Bandwidths as specified in TS 38.508-1 [5] subclause 4.3.1</w:t>
            </w:r>
          </w:p>
        </w:tc>
        <w:tc>
          <w:tcPr>
            <w:tcW w:w="2310" w:type="pct"/>
            <w:gridSpan w:val="3"/>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pPr>
            <w:r>
              <w:t xml:space="preserve">Test SCS as specified in Table 5.3.5-1 </w:t>
            </w:r>
          </w:p>
        </w:tc>
        <w:tc>
          <w:tcPr>
            <w:tcW w:w="2310" w:type="pct"/>
            <w:gridSpan w:val="3"/>
          </w:tcPr>
          <w:p>
            <w:pPr>
              <w:pStyle w:val="53"/>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1"/>
              <w:rPr>
                <w:lang w:eastAsia="zh-CN"/>
              </w:rPr>
            </w:pPr>
            <w:r>
              <w:rPr>
                <w:lang w:eastAsia="zh-CN"/>
              </w:rPr>
              <w:t>Test ID</w:t>
            </w:r>
          </w:p>
        </w:tc>
        <w:tc>
          <w:tcPr>
            <w:tcW w:w="484" w:type="pct"/>
          </w:tcPr>
          <w:p>
            <w:pPr>
              <w:pStyle w:val="51"/>
            </w:pPr>
            <w:r>
              <w:t>Freq</w:t>
            </w:r>
          </w:p>
        </w:tc>
        <w:tc>
          <w:tcPr>
            <w:tcW w:w="484" w:type="pct"/>
            <w:tcBorders>
              <w:bottom w:val="single" w:color="auto" w:sz="4" w:space="0"/>
            </w:tcBorders>
          </w:tcPr>
          <w:p>
            <w:pPr>
              <w:pStyle w:val="51"/>
            </w:pPr>
            <w:r>
              <w:t>ChBw</w:t>
            </w:r>
          </w:p>
        </w:tc>
        <w:tc>
          <w:tcPr>
            <w:tcW w:w="484" w:type="pct"/>
            <w:tcBorders>
              <w:bottom w:val="single" w:color="auto" w:sz="4" w:space="0"/>
            </w:tcBorders>
          </w:tcPr>
          <w:p>
            <w:pPr>
              <w:pStyle w:val="51"/>
            </w:pPr>
            <w:r>
              <w:t>SCS</w:t>
            </w:r>
          </w:p>
        </w:tc>
        <w:tc>
          <w:tcPr>
            <w:tcW w:w="905" w:type="pct"/>
            <w:gridSpan w:val="2"/>
            <w:shd w:val="clear" w:color="auto" w:fill="auto"/>
          </w:tcPr>
          <w:p>
            <w:pPr>
              <w:pStyle w:val="51"/>
            </w:pPr>
            <w:r>
              <w:t>Downlink Configuration</w:t>
            </w:r>
          </w:p>
        </w:tc>
        <w:tc>
          <w:tcPr>
            <w:tcW w:w="2277"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1"/>
              <w:rPr>
                <w:lang w:eastAsia="zh-CN"/>
              </w:rPr>
            </w:pPr>
          </w:p>
        </w:tc>
        <w:tc>
          <w:tcPr>
            <w:tcW w:w="484" w:type="pct"/>
          </w:tcPr>
          <w:p>
            <w:pPr>
              <w:pStyle w:val="52"/>
            </w:pPr>
          </w:p>
        </w:tc>
        <w:tc>
          <w:tcPr>
            <w:tcW w:w="484" w:type="pct"/>
            <w:tcBorders>
              <w:bottom w:val="nil"/>
            </w:tcBorders>
          </w:tcPr>
          <w:p>
            <w:pPr>
              <w:pStyle w:val="52"/>
            </w:pPr>
            <w:r>
              <w:t>Default</w:t>
            </w:r>
          </w:p>
        </w:tc>
        <w:tc>
          <w:tcPr>
            <w:tcW w:w="484" w:type="pct"/>
            <w:tcBorders>
              <w:bottom w:val="nil"/>
            </w:tcBorders>
          </w:tcPr>
          <w:p>
            <w:pPr>
              <w:pStyle w:val="52"/>
            </w:pPr>
            <w:r>
              <w:t>Default</w:t>
            </w:r>
          </w:p>
        </w:tc>
        <w:tc>
          <w:tcPr>
            <w:tcW w:w="905" w:type="pct"/>
            <w:gridSpan w:val="2"/>
            <w:vMerge w:val="restart"/>
            <w:shd w:val="clear" w:color="auto" w:fill="auto"/>
          </w:tcPr>
          <w:p>
            <w:pPr>
              <w:pStyle w:val="52"/>
            </w:pPr>
            <w:r>
              <w:t>N/A for Spectrum Emission Mask test case</w:t>
            </w:r>
          </w:p>
        </w:tc>
        <w:tc>
          <w:tcPr>
            <w:tcW w:w="1008" w:type="pct"/>
          </w:tcPr>
          <w:p>
            <w:pPr>
              <w:pStyle w:val="51"/>
              <w:rPr>
                <w:lang w:eastAsia="zh-CN"/>
              </w:rPr>
            </w:pPr>
            <w:r>
              <w:rPr>
                <w:lang w:eastAsia="zh-CN"/>
              </w:rPr>
              <w:t xml:space="preserve">Modulation </w:t>
            </w:r>
          </w:p>
        </w:tc>
        <w:tc>
          <w:tcPr>
            <w:tcW w:w="1269"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1</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QPSK</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2</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QPSK</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3</w:t>
            </w:r>
          </w:p>
        </w:tc>
        <w:tc>
          <w:tcPr>
            <w:tcW w:w="484" w:type="pct"/>
          </w:tcPr>
          <w:p>
            <w:pPr>
              <w:pStyle w:val="52"/>
            </w:pPr>
            <w:r>
              <w:t>Default</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QPSK</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4</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16 QAM</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5</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16 QAM</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6</w:t>
            </w:r>
          </w:p>
        </w:tc>
        <w:tc>
          <w:tcPr>
            <w:tcW w:w="484" w:type="pct"/>
          </w:tcPr>
          <w:p>
            <w:pPr>
              <w:pStyle w:val="52"/>
            </w:pPr>
            <w:r>
              <w:t>Default</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16 QAM</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7</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64 QAM</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8</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64 QAM</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9</w:t>
            </w:r>
          </w:p>
        </w:tc>
        <w:tc>
          <w:tcPr>
            <w:tcW w:w="484" w:type="pct"/>
          </w:tcPr>
          <w:p>
            <w:pPr>
              <w:pStyle w:val="52"/>
            </w:pPr>
            <w:r>
              <w:t>Default</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64 QAM</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10</w:t>
            </w:r>
          </w:p>
        </w:tc>
        <w:tc>
          <w:tcPr>
            <w:tcW w:w="484" w:type="pct"/>
          </w:tcPr>
          <w:p>
            <w:pPr>
              <w:pStyle w:val="52"/>
            </w:pPr>
            <w:r>
              <w:t>Low</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256 QAM</w:t>
            </w:r>
          </w:p>
        </w:tc>
        <w:tc>
          <w:tcPr>
            <w:tcW w:w="1269"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pPr>
            <w:r>
              <w:t>11</w:t>
            </w:r>
          </w:p>
        </w:tc>
        <w:tc>
          <w:tcPr>
            <w:tcW w:w="484" w:type="pct"/>
          </w:tcPr>
          <w:p>
            <w:pPr>
              <w:pStyle w:val="52"/>
            </w:pPr>
            <w:r>
              <w:t>High</w:t>
            </w:r>
          </w:p>
        </w:tc>
        <w:tc>
          <w:tcPr>
            <w:tcW w:w="484" w:type="pct"/>
            <w:tcBorders>
              <w:top w:val="nil"/>
              <w:bottom w:val="nil"/>
            </w:tcBorders>
          </w:tcPr>
          <w:p>
            <w:pPr>
              <w:pStyle w:val="52"/>
            </w:pPr>
          </w:p>
        </w:tc>
        <w:tc>
          <w:tcPr>
            <w:tcW w:w="484" w:type="pct"/>
            <w:tcBorders>
              <w:top w:val="nil"/>
              <w:bottom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256 QAM</w:t>
            </w:r>
          </w:p>
        </w:tc>
        <w:tc>
          <w:tcPr>
            <w:tcW w:w="1269"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lang w:eastAsia="zh-CN"/>
              </w:rPr>
            </w:pPr>
            <w:r>
              <w:rPr>
                <w:lang w:eastAsia="zh-CN"/>
              </w:rPr>
              <w:t>12</w:t>
            </w:r>
          </w:p>
        </w:tc>
        <w:tc>
          <w:tcPr>
            <w:tcW w:w="484" w:type="pct"/>
          </w:tcPr>
          <w:p>
            <w:pPr>
              <w:pStyle w:val="52"/>
            </w:pPr>
            <w:r>
              <w:t>Default</w:t>
            </w:r>
          </w:p>
        </w:tc>
        <w:tc>
          <w:tcPr>
            <w:tcW w:w="484" w:type="pct"/>
            <w:tcBorders>
              <w:top w:val="nil"/>
            </w:tcBorders>
          </w:tcPr>
          <w:p>
            <w:pPr>
              <w:pStyle w:val="52"/>
            </w:pPr>
          </w:p>
        </w:tc>
        <w:tc>
          <w:tcPr>
            <w:tcW w:w="484" w:type="pct"/>
            <w:tcBorders>
              <w:top w:val="nil"/>
            </w:tcBorders>
          </w:tcPr>
          <w:p>
            <w:pPr>
              <w:pStyle w:val="52"/>
            </w:pPr>
          </w:p>
        </w:tc>
        <w:tc>
          <w:tcPr>
            <w:tcW w:w="905" w:type="pct"/>
            <w:gridSpan w:val="2"/>
            <w:vMerge w:val="continue"/>
            <w:shd w:val="clear" w:color="auto" w:fill="auto"/>
          </w:tcPr>
          <w:p>
            <w:pPr>
              <w:pStyle w:val="52"/>
            </w:pPr>
          </w:p>
        </w:tc>
        <w:tc>
          <w:tcPr>
            <w:tcW w:w="1008" w:type="pct"/>
          </w:tcPr>
          <w:p>
            <w:pPr>
              <w:pStyle w:val="52"/>
            </w:pPr>
            <w:r>
              <w:t>CP-OFDM 256 QAM</w:t>
            </w:r>
          </w:p>
        </w:tc>
        <w:tc>
          <w:tcPr>
            <w:tcW w:w="1269" w:type="pct"/>
            <w:shd w:val="clear" w:color="auto" w:fill="auto"/>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5"/>
      </w:pPr>
      <w:r>
        <w:t>4.</w:t>
      </w:r>
      <w:r>
        <w:tab/>
      </w:r>
      <w:r>
        <w:t>The UL Reference Measurement channels are set according to Table 6.5D.2.2.4.1-1.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6.5D.2.2.4.3</w:t>
      </w:r>
    </w:p>
    <w:p>
      <w:pPr>
        <w:pStyle w:val="8"/>
      </w:pPr>
      <w:r>
        <w:t>6.5D.2.2.4.2</w:t>
      </w:r>
      <w:r>
        <w:tab/>
      </w:r>
      <w:r>
        <w:t>Test procedure</w:t>
      </w:r>
    </w:p>
    <w:p>
      <w:pPr>
        <w:pStyle w:val="75"/>
      </w:pPr>
      <w:r>
        <w:t>1.</w:t>
      </w:r>
      <w:r>
        <w:tab/>
      </w:r>
      <w:r>
        <w:t>SS sends uplink scheduling information for each UL HARQ process via PDCCH DCI format0_1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pPr>
        <w:pStyle w:val="75"/>
      </w:pPr>
      <w:r>
        <w:t>2.</w:t>
      </w:r>
      <w:r>
        <w:tab/>
      </w:r>
      <w:r>
        <w:t>Send continuously power control “up” commands to the UE until the UE transmits at P</w:t>
      </w:r>
      <w:r>
        <w:rPr>
          <w:rStyle w:val="83"/>
          <w:vertAlign w:val="subscript"/>
        </w:rPr>
        <w:t>UMAX</w:t>
      </w:r>
      <w:r>
        <w:t xml:space="preserve"> level. Allow at least 200ms for the UE to reach P</w:t>
      </w:r>
      <w:r>
        <w:rPr>
          <w:rStyle w:val="83"/>
          <w:vertAlign w:val="subscript"/>
        </w:rPr>
        <w:t>UMAX</w:t>
      </w:r>
      <w:r>
        <w:t xml:space="preserve"> level.</w:t>
      </w:r>
    </w:p>
    <w:p>
      <w:pPr>
        <w:pStyle w:val="75"/>
      </w:pPr>
      <w:r>
        <w:t>3.</w:t>
      </w:r>
      <w:r>
        <w:tab/>
      </w:r>
      <w:r>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pPr>
        <w:pStyle w:val="75"/>
      </w:pPr>
      <w:r>
        <w:t>4.</w:t>
      </w:r>
      <w:r>
        <w:tab/>
      </w:r>
      <w:r>
        <w:t>Measure the power of the transmitted signal at each antenna connector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pPr>
        <w:pStyle w:val="8"/>
      </w:pPr>
      <w:r>
        <w:t>6.5D.2.2.4.3</w:t>
      </w:r>
      <w:r>
        <w:tab/>
      </w:r>
      <w:r>
        <w:t>Message contents</w:t>
      </w:r>
    </w:p>
    <w:p>
      <w:r>
        <w:t>Message contents are according to TS 38.508-1 [5] subclause 4.6 ensuring Table 4.6.3-182 with condition 2TX_UL_MIMO.</w:t>
      </w:r>
    </w:p>
    <w:p>
      <w:pPr>
        <w:pStyle w:val="8"/>
      </w:pPr>
      <w:bookmarkStart w:id="271" w:name="_Toc27478300"/>
      <w:bookmarkStart w:id="272" w:name="_Toc36227014"/>
      <w:bookmarkStart w:id="273" w:name="_Toc44324299"/>
      <w:bookmarkStart w:id="274" w:name="_Toc52990493"/>
      <w:bookmarkStart w:id="275" w:name="_Toc60823705"/>
      <w:bookmarkStart w:id="276" w:name="_Toc60825626"/>
      <w:r>
        <w:t>6.5D.2.2.5</w:t>
      </w:r>
      <w:r>
        <w:tab/>
      </w:r>
      <w:r>
        <w:t>Test requirement</w:t>
      </w:r>
      <w:bookmarkEnd w:id="271"/>
      <w:bookmarkEnd w:id="272"/>
      <w:bookmarkEnd w:id="273"/>
      <w:bookmarkEnd w:id="274"/>
      <w:bookmarkEnd w:id="275"/>
      <w:bookmarkEnd w:id="276"/>
    </w:p>
    <w:p>
      <w:pPr>
        <w:rPr>
          <w:lang w:eastAsia="ja-JP"/>
        </w:rPr>
      </w:pPr>
      <w:r>
        <w:t xml:space="preserve">The measured sum of the UE mean power in the channel bandwidth, derived in step 3, shall </w:t>
      </w:r>
      <w:ins w:id="94" w:author="Yu SHI-China Unicom" w:date="2021-11-09T16:46:11Z">
        <w:r>
          <w:rPr/>
          <w:t>fulfill</w:t>
        </w:r>
      </w:ins>
      <w:r>
        <w:t xml:space="preserve"> requirements in Tables </w:t>
      </w:r>
      <w:r>
        <w:rPr>
          <w:highlight w:val="yellow"/>
          <w:lang w:eastAsia="ja-JP"/>
        </w:rPr>
        <w:t xml:space="preserve">6.2D.2.5-1 or </w:t>
      </w:r>
      <w:r>
        <w:rPr>
          <w:highlight w:val="yellow"/>
        </w:rPr>
        <w:t xml:space="preserve">6.2D.2.5-2 </w:t>
      </w:r>
      <w:r>
        <w:t>as appropriate, and the power of any UE emission measured at each antenna in step 4 shall</w:t>
      </w:r>
      <w:r>
        <w:rPr>
          <w:lang w:eastAsia="ja-JP"/>
        </w:rPr>
        <w:t xml:space="preserve"> </w:t>
      </w:r>
      <w:del w:id="95" w:author="Yu SHI-China Unicom" w:date="2021-11-09T16:46:31Z">
        <w:r>
          <w:rPr>
            <w:lang w:eastAsia="ja-JP"/>
          </w:rPr>
          <w:delText>fulfil</w:delText>
        </w:r>
      </w:del>
      <w:ins w:id="96" w:author="Yu SHI-China Unicom" w:date="2021-11-09T16:46:31Z">
        <w:r>
          <w:rPr>
            <w:lang w:eastAsia="ja-JP"/>
          </w:rPr>
          <w:t>fulfill</w:t>
        </w:r>
      </w:ins>
      <w:r>
        <w:rPr>
          <w:lang w:eastAsia="ja-JP"/>
        </w:rPr>
        <w:t xml:space="preserve"> requirements in </w:t>
      </w:r>
      <w:r>
        <w:t>Table</w:t>
      </w:r>
      <w:r>
        <w:rPr>
          <w:lang w:eastAsia="ja-JP"/>
        </w:rPr>
        <w:t xml:space="preserve"> 6.5D.2.2.5-1.</w:t>
      </w:r>
    </w:p>
    <w:p>
      <w:pPr>
        <w:pStyle w:val="55"/>
      </w:pPr>
      <w:r>
        <w:t>Table 6.5D.2.2.5-1: NR General spectrum emission mask</w:t>
      </w:r>
    </w:p>
    <w:tbl>
      <w:tblPr>
        <w:tblStyle w:val="47"/>
        <w:tblW w:w="10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468"/>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630" w:type="dxa"/>
          </w:tcPr>
          <w:p>
            <w:pPr>
              <w:pStyle w:val="51"/>
            </w:pPr>
          </w:p>
        </w:tc>
        <w:tc>
          <w:tcPr>
            <w:tcW w:w="9468" w:type="dxa"/>
            <w:gridSpan w:val="14"/>
            <w:tcMar>
              <w:top w:w="0" w:type="dxa"/>
              <w:left w:w="108" w:type="dxa"/>
              <w:bottom w:w="0" w:type="dxa"/>
              <w:right w:w="108" w:type="dxa"/>
            </w:tcMar>
            <w:vAlign w:val="center"/>
          </w:tcPr>
          <w:p>
            <w:pPr>
              <w:pStyle w:val="51"/>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98" w:type="dxa"/>
            <w:gridSpan w:val="2"/>
            <w:tcMar>
              <w:top w:w="0" w:type="dxa"/>
              <w:left w:w="108" w:type="dxa"/>
              <w:bottom w:w="0" w:type="dxa"/>
              <w:right w:w="108" w:type="dxa"/>
            </w:tcMar>
          </w:tcPr>
          <w:p>
            <w:pPr>
              <w:pStyle w:val="51"/>
            </w:pPr>
            <w:r>
              <w:t>Δf</w:t>
            </w:r>
            <w:r>
              <w:rPr>
                <w:vertAlign w:val="subscript"/>
              </w:rPr>
              <w:t>OOB</w:t>
            </w:r>
          </w:p>
          <w:p>
            <w:pPr>
              <w:pStyle w:val="51"/>
            </w:pPr>
            <w:r>
              <w:t>(MHz)</w:t>
            </w:r>
          </w:p>
        </w:tc>
        <w:tc>
          <w:tcPr>
            <w:tcW w:w="630" w:type="dxa"/>
            <w:tcMar>
              <w:top w:w="0" w:type="dxa"/>
              <w:left w:w="108" w:type="dxa"/>
              <w:bottom w:w="0" w:type="dxa"/>
              <w:right w:w="108" w:type="dxa"/>
            </w:tcMar>
            <w:vAlign w:val="center"/>
          </w:tcPr>
          <w:p>
            <w:pPr>
              <w:pStyle w:val="51"/>
            </w:pPr>
            <w:r>
              <w:t>5</w:t>
            </w:r>
          </w:p>
          <w:p>
            <w:pPr>
              <w:pStyle w:val="51"/>
            </w:pPr>
            <w:r>
              <w:t>MHz</w:t>
            </w:r>
          </w:p>
        </w:tc>
        <w:tc>
          <w:tcPr>
            <w:tcW w:w="630" w:type="dxa"/>
            <w:tcMar>
              <w:top w:w="0" w:type="dxa"/>
              <w:left w:w="108" w:type="dxa"/>
              <w:bottom w:w="0" w:type="dxa"/>
              <w:right w:w="108" w:type="dxa"/>
            </w:tcMar>
            <w:vAlign w:val="center"/>
          </w:tcPr>
          <w:p>
            <w:pPr>
              <w:pStyle w:val="51"/>
            </w:pPr>
            <w:r>
              <w:t>10</w:t>
            </w:r>
          </w:p>
          <w:p>
            <w:pPr>
              <w:pStyle w:val="51"/>
            </w:pPr>
            <w:r>
              <w:t>MHz</w:t>
            </w:r>
          </w:p>
        </w:tc>
        <w:tc>
          <w:tcPr>
            <w:tcW w:w="630" w:type="dxa"/>
            <w:tcMar>
              <w:top w:w="0" w:type="dxa"/>
              <w:left w:w="108" w:type="dxa"/>
              <w:bottom w:w="0" w:type="dxa"/>
              <w:right w:w="108" w:type="dxa"/>
            </w:tcMar>
            <w:vAlign w:val="center"/>
          </w:tcPr>
          <w:p>
            <w:pPr>
              <w:pStyle w:val="51"/>
            </w:pPr>
            <w:r>
              <w:t>15</w:t>
            </w:r>
          </w:p>
          <w:p>
            <w:pPr>
              <w:pStyle w:val="51"/>
            </w:pPr>
            <w:r>
              <w:t>MHz</w:t>
            </w:r>
          </w:p>
        </w:tc>
        <w:tc>
          <w:tcPr>
            <w:tcW w:w="630" w:type="dxa"/>
            <w:tcMar>
              <w:top w:w="0" w:type="dxa"/>
              <w:left w:w="108" w:type="dxa"/>
              <w:bottom w:w="0" w:type="dxa"/>
              <w:right w:w="108" w:type="dxa"/>
            </w:tcMar>
            <w:vAlign w:val="center"/>
          </w:tcPr>
          <w:p>
            <w:pPr>
              <w:pStyle w:val="51"/>
            </w:pPr>
            <w:r>
              <w:t>20</w:t>
            </w:r>
          </w:p>
          <w:p>
            <w:pPr>
              <w:pStyle w:val="51"/>
            </w:pPr>
            <w:r>
              <w:t>MHz</w:t>
            </w:r>
          </w:p>
        </w:tc>
        <w:tc>
          <w:tcPr>
            <w:tcW w:w="630" w:type="dxa"/>
            <w:vAlign w:val="center"/>
          </w:tcPr>
          <w:p>
            <w:pPr>
              <w:pStyle w:val="51"/>
            </w:pPr>
            <w:r>
              <w:t>25</w:t>
            </w:r>
          </w:p>
          <w:p>
            <w:pPr>
              <w:pStyle w:val="51"/>
            </w:pPr>
            <w:r>
              <w:t>MHz</w:t>
            </w:r>
          </w:p>
        </w:tc>
        <w:tc>
          <w:tcPr>
            <w:tcW w:w="630" w:type="dxa"/>
            <w:vAlign w:val="center"/>
          </w:tcPr>
          <w:p>
            <w:pPr>
              <w:pStyle w:val="51"/>
            </w:pPr>
            <w:r>
              <w:t>30 MHz</w:t>
            </w:r>
          </w:p>
        </w:tc>
        <w:tc>
          <w:tcPr>
            <w:tcW w:w="630" w:type="dxa"/>
            <w:vAlign w:val="center"/>
          </w:tcPr>
          <w:p>
            <w:pPr>
              <w:pStyle w:val="51"/>
            </w:pPr>
            <w:r>
              <w:t>40</w:t>
            </w:r>
          </w:p>
          <w:p>
            <w:pPr>
              <w:pStyle w:val="51"/>
            </w:pPr>
            <w:r>
              <w:t>MHz</w:t>
            </w:r>
          </w:p>
        </w:tc>
        <w:tc>
          <w:tcPr>
            <w:tcW w:w="630" w:type="dxa"/>
            <w:tcMar>
              <w:top w:w="0" w:type="dxa"/>
              <w:left w:w="108" w:type="dxa"/>
              <w:bottom w:w="0" w:type="dxa"/>
              <w:right w:w="108" w:type="dxa"/>
            </w:tcMar>
            <w:vAlign w:val="center"/>
          </w:tcPr>
          <w:p>
            <w:pPr>
              <w:pStyle w:val="51"/>
            </w:pPr>
            <w:r>
              <w:t>50</w:t>
            </w:r>
          </w:p>
          <w:p>
            <w:pPr>
              <w:pStyle w:val="51"/>
            </w:pPr>
            <w:r>
              <w:t>MHz</w:t>
            </w:r>
          </w:p>
        </w:tc>
        <w:tc>
          <w:tcPr>
            <w:tcW w:w="630" w:type="dxa"/>
            <w:vAlign w:val="center"/>
          </w:tcPr>
          <w:p>
            <w:pPr>
              <w:pStyle w:val="51"/>
            </w:pPr>
            <w:r>
              <w:t>60</w:t>
            </w:r>
          </w:p>
          <w:p>
            <w:pPr>
              <w:pStyle w:val="51"/>
            </w:pPr>
            <w:r>
              <w:t>MHz</w:t>
            </w:r>
          </w:p>
        </w:tc>
        <w:tc>
          <w:tcPr>
            <w:tcW w:w="630" w:type="dxa"/>
            <w:vAlign w:val="center"/>
          </w:tcPr>
          <w:p>
            <w:pPr>
              <w:pStyle w:val="51"/>
            </w:pPr>
            <w:r>
              <w:t>80</w:t>
            </w:r>
          </w:p>
          <w:p>
            <w:pPr>
              <w:pStyle w:val="51"/>
            </w:pPr>
            <w:r>
              <w:t>MHz</w:t>
            </w:r>
          </w:p>
        </w:tc>
        <w:tc>
          <w:tcPr>
            <w:tcW w:w="630" w:type="dxa"/>
          </w:tcPr>
          <w:p>
            <w:pPr>
              <w:pStyle w:val="51"/>
            </w:pPr>
            <w:r>
              <w:t>90</w:t>
            </w:r>
          </w:p>
          <w:p>
            <w:pPr>
              <w:pStyle w:val="51"/>
            </w:pPr>
            <w:r>
              <w:t>MHz</w:t>
            </w:r>
          </w:p>
        </w:tc>
        <w:tc>
          <w:tcPr>
            <w:tcW w:w="630" w:type="dxa"/>
            <w:tcMar>
              <w:top w:w="0" w:type="dxa"/>
              <w:left w:w="108" w:type="dxa"/>
              <w:bottom w:w="0" w:type="dxa"/>
              <w:right w:w="108" w:type="dxa"/>
            </w:tcMar>
            <w:vAlign w:val="center"/>
          </w:tcPr>
          <w:p>
            <w:pPr>
              <w:pStyle w:val="51"/>
            </w:pPr>
            <w:r>
              <w:t>100</w:t>
            </w:r>
          </w:p>
          <w:p>
            <w:pPr>
              <w:pStyle w:val="51"/>
            </w:pPr>
            <w:r>
              <w:t>MHz</w:t>
            </w:r>
          </w:p>
        </w:tc>
        <w:tc>
          <w:tcPr>
            <w:tcW w:w="1440" w:type="dxa"/>
            <w:tcMar>
              <w:top w:w="0" w:type="dxa"/>
              <w:left w:w="108" w:type="dxa"/>
              <w:bottom w:w="0" w:type="dxa"/>
              <w:right w:w="108" w:type="dxa"/>
            </w:tcMar>
          </w:tcPr>
          <w:p>
            <w:pPr>
              <w:pStyle w:val="5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vAlign w:val="center"/>
          </w:tcPr>
          <w:p>
            <w:pPr>
              <w:pStyle w:val="52"/>
            </w:pPr>
            <w:r>
              <w:t>± 0-1</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tcMar>
              <w:top w:w="0" w:type="dxa"/>
              <w:left w:w="108" w:type="dxa"/>
              <w:bottom w:w="0" w:type="dxa"/>
              <w:right w:w="108" w:type="dxa"/>
            </w:tcMar>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vAlign w:val="center"/>
          </w:tcPr>
          <w:p>
            <w:pPr>
              <w:pStyle w:val="52"/>
            </w:pPr>
            <w:r>
              <w:t>-13 + TT</w:t>
            </w: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p>
        </w:tc>
        <w:tc>
          <w:tcPr>
            <w:tcW w:w="1440" w:type="dxa"/>
            <w:tcMar>
              <w:top w:w="0" w:type="dxa"/>
              <w:left w:w="108" w:type="dxa"/>
              <w:bottom w:w="0" w:type="dxa"/>
              <w:right w:w="108" w:type="dxa"/>
            </w:tcMar>
          </w:tcPr>
          <w:p>
            <w:pPr>
              <w:pStyle w:val="52"/>
            </w:pPr>
            <w: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0-1</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-24 + TT</w:t>
            </w:r>
          </w:p>
        </w:tc>
        <w:tc>
          <w:tcPr>
            <w:tcW w:w="630" w:type="dxa"/>
            <w:vAlign w:val="center"/>
          </w:tcPr>
          <w:p>
            <w:pPr>
              <w:pStyle w:val="52"/>
            </w:pPr>
            <w:r>
              <w:t>-24 + TT</w:t>
            </w:r>
          </w:p>
        </w:tc>
        <w:tc>
          <w:tcPr>
            <w:tcW w:w="630" w:type="dxa"/>
            <w:vAlign w:val="center"/>
          </w:tcPr>
          <w:p>
            <w:pPr>
              <w:pStyle w:val="52"/>
            </w:pPr>
            <w:r>
              <w:t>-24 + TT</w:t>
            </w:r>
          </w:p>
        </w:tc>
        <w:tc>
          <w:tcPr>
            <w:tcW w:w="630" w:type="dxa"/>
          </w:tcPr>
          <w:p>
            <w:pPr>
              <w:pStyle w:val="52"/>
            </w:pPr>
            <w:r>
              <w:t>-24 + TT</w:t>
            </w:r>
          </w:p>
        </w:tc>
        <w:tc>
          <w:tcPr>
            <w:tcW w:w="630" w:type="dxa"/>
            <w:tcMar>
              <w:top w:w="0" w:type="dxa"/>
              <w:left w:w="108" w:type="dxa"/>
              <w:bottom w:w="0" w:type="dxa"/>
              <w:right w:w="108" w:type="dxa"/>
            </w:tcMar>
            <w:vAlign w:val="center"/>
          </w:tcPr>
          <w:p>
            <w:pPr>
              <w:pStyle w:val="52"/>
            </w:pPr>
            <w:r>
              <w:t>-24 + TT</w:t>
            </w:r>
          </w:p>
        </w:tc>
        <w:tc>
          <w:tcPr>
            <w:tcW w:w="1440" w:type="dxa"/>
            <w:tcMar>
              <w:top w:w="0" w:type="dxa"/>
              <w:left w:w="108" w:type="dxa"/>
              <w:bottom w:w="0" w:type="dxa"/>
              <w:right w:w="108" w:type="dxa"/>
            </w:tcMar>
          </w:tcPr>
          <w:p>
            <w:pPr>
              <w:pStyle w:val="52"/>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1-5</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vAlign w:val="center"/>
          </w:tcPr>
          <w:p>
            <w:pPr>
              <w:pStyle w:val="52"/>
            </w:pPr>
            <w:r>
              <w:t>-10 + TT</w:t>
            </w:r>
          </w:p>
        </w:tc>
        <w:tc>
          <w:tcPr>
            <w:tcW w:w="630" w:type="dxa"/>
            <w:tcMar>
              <w:top w:w="0" w:type="dxa"/>
              <w:left w:w="108" w:type="dxa"/>
              <w:bottom w:w="0" w:type="dxa"/>
              <w:right w:w="108" w:type="dxa"/>
            </w:tcMar>
            <w:vAlign w:val="center"/>
          </w:tcPr>
          <w:p>
            <w:pPr>
              <w:pStyle w:val="52"/>
            </w:pPr>
            <w:r>
              <w:t>-10 + TT</w:t>
            </w:r>
          </w:p>
        </w:tc>
        <w:tc>
          <w:tcPr>
            <w:tcW w:w="630" w:type="dxa"/>
            <w:vAlign w:val="center"/>
          </w:tcPr>
          <w:p>
            <w:pPr>
              <w:pStyle w:val="52"/>
            </w:pPr>
            <w:r>
              <w:t>-10 + TT</w:t>
            </w:r>
          </w:p>
        </w:tc>
        <w:tc>
          <w:tcPr>
            <w:tcW w:w="630" w:type="dxa"/>
            <w:vAlign w:val="center"/>
          </w:tcPr>
          <w:p>
            <w:pPr>
              <w:pStyle w:val="52"/>
            </w:pPr>
            <w:r>
              <w:t>-10 + TT</w:t>
            </w:r>
          </w:p>
        </w:tc>
        <w:tc>
          <w:tcPr>
            <w:tcW w:w="630" w:type="dxa"/>
          </w:tcPr>
          <w:p>
            <w:pPr>
              <w:pStyle w:val="52"/>
            </w:pPr>
            <w:r>
              <w:t>-10 + TT</w:t>
            </w:r>
          </w:p>
        </w:tc>
        <w:tc>
          <w:tcPr>
            <w:tcW w:w="630" w:type="dxa"/>
            <w:tcMar>
              <w:top w:w="0" w:type="dxa"/>
              <w:left w:w="108" w:type="dxa"/>
              <w:bottom w:w="0" w:type="dxa"/>
              <w:right w:w="108" w:type="dxa"/>
            </w:tcMar>
            <w:vAlign w:val="center"/>
          </w:tcPr>
          <w:p>
            <w:pPr>
              <w:pStyle w:val="52"/>
            </w:pPr>
            <w:r>
              <w:t>-10 + TT</w:t>
            </w:r>
          </w:p>
        </w:tc>
        <w:tc>
          <w:tcPr>
            <w:tcW w:w="1440" w:type="dxa"/>
            <w:vMerge w:val="restart"/>
            <w:tcMar>
              <w:top w:w="0" w:type="dxa"/>
              <w:left w:w="108" w:type="dxa"/>
              <w:bottom w:w="0" w:type="dxa"/>
              <w:right w:w="108" w:type="dxa"/>
            </w:tcMar>
            <w:vAlign w:val="center"/>
          </w:tcPr>
          <w:p>
            <w:pPr>
              <w:pStyle w:val="52"/>
              <w:rPr>
                <w:rFonts w:eastAsia="Yu Mincho"/>
              </w:rPr>
            </w:pPr>
            <w:r>
              <w:rPr>
                <w:rFonts w:eastAsia="Yu Mincho"/>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5-6</w:t>
            </w:r>
          </w:p>
        </w:tc>
        <w:tc>
          <w:tcPr>
            <w:tcW w:w="630" w:type="dxa"/>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vAlign w:val="center"/>
          </w:tcPr>
          <w:p>
            <w:pPr>
              <w:pStyle w:val="52"/>
            </w:pPr>
            <w:r>
              <w:t>-13 + TT</w:t>
            </w:r>
          </w:p>
        </w:tc>
        <w:tc>
          <w:tcPr>
            <w:tcW w:w="630" w:type="dxa"/>
            <w:vMerge w:val="restart"/>
            <w:tcMar>
              <w:top w:w="0" w:type="dxa"/>
              <w:left w:w="108" w:type="dxa"/>
              <w:bottom w:w="0" w:type="dxa"/>
              <w:right w:w="108" w:type="dxa"/>
            </w:tcMar>
            <w:vAlign w:val="center"/>
          </w:tcPr>
          <w:p>
            <w:pPr>
              <w:pStyle w:val="52"/>
            </w:pPr>
            <w:r>
              <w:t>-13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6-10</w:t>
            </w: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10-15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15-20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20-25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25-30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30-35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35-40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Merge w:val="continue"/>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40-45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45-50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vMerge w:val="continue"/>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50-55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r>
              <w:t>-25 + TT</w:t>
            </w: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55-60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Merge w:val="continue"/>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60-65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r>
              <w:t>-25 + TT</w:t>
            </w: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65-80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Merge w:val="continue"/>
            <w:vAlign w:val="center"/>
          </w:tcPr>
          <w:p>
            <w:pPr>
              <w:pStyle w:val="52"/>
            </w:pP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80-90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r>
              <w:t>-25 + TT</w:t>
            </w:r>
          </w:p>
        </w:tc>
        <w:tc>
          <w:tcPr>
            <w:tcW w:w="630" w:type="dxa"/>
            <w:vMerge w:val="continue"/>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90-95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r>
              <w:t>-25 + TT</w:t>
            </w: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95-100</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p>
        </w:tc>
        <w:tc>
          <w:tcPr>
            <w:tcW w:w="630" w:type="dxa"/>
            <w:vMerge w:val="continue"/>
            <w:tcMar>
              <w:top w:w="0" w:type="dxa"/>
              <w:left w:w="108" w:type="dxa"/>
              <w:bottom w:w="0" w:type="dxa"/>
              <w:right w:w="108" w:type="dxa"/>
            </w:tcMar>
            <w:vAlign w:val="center"/>
          </w:tcPr>
          <w:p>
            <w:pPr>
              <w:pStyle w:val="52"/>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pPr>
            <w:r>
              <w:t>± 100-105</w:t>
            </w: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tcPr>
          <w:p>
            <w:pPr>
              <w:pStyle w:val="52"/>
            </w:pPr>
          </w:p>
        </w:tc>
        <w:tc>
          <w:tcPr>
            <w:tcW w:w="630" w:type="dxa"/>
            <w:vAlign w:val="center"/>
          </w:tcPr>
          <w:p>
            <w:pPr>
              <w:pStyle w:val="52"/>
            </w:pPr>
          </w:p>
        </w:tc>
        <w:tc>
          <w:tcPr>
            <w:tcW w:w="630" w:type="dxa"/>
            <w:tcMar>
              <w:top w:w="0" w:type="dxa"/>
              <w:left w:w="108" w:type="dxa"/>
              <w:bottom w:w="0" w:type="dxa"/>
              <w:right w:w="108" w:type="dxa"/>
            </w:tcMar>
            <w:vAlign w:val="center"/>
          </w:tcPr>
          <w:p>
            <w:pPr>
              <w:pStyle w:val="52"/>
            </w:pPr>
          </w:p>
        </w:tc>
        <w:tc>
          <w:tcPr>
            <w:tcW w:w="630" w:type="dxa"/>
            <w:vAlign w:val="center"/>
          </w:tcPr>
          <w:p>
            <w:pPr>
              <w:pStyle w:val="52"/>
            </w:pPr>
          </w:p>
        </w:tc>
        <w:tc>
          <w:tcPr>
            <w:tcW w:w="630" w:type="dxa"/>
            <w:vAlign w:val="center"/>
          </w:tcPr>
          <w:p>
            <w:pPr>
              <w:pStyle w:val="52"/>
            </w:pPr>
          </w:p>
        </w:tc>
        <w:tc>
          <w:tcPr>
            <w:tcW w:w="630" w:type="dxa"/>
          </w:tcPr>
          <w:p>
            <w:pPr>
              <w:pStyle w:val="52"/>
            </w:pPr>
          </w:p>
        </w:tc>
        <w:tc>
          <w:tcPr>
            <w:tcW w:w="630" w:type="dxa"/>
            <w:tcMar>
              <w:top w:w="0" w:type="dxa"/>
              <w:left w:w="108" w:type="dxa"/>
              <w:bottom w:w="0" w:type="dxa"/>
              <w:right w:w="108" w:type="dxa"/>
            </w:tcMar>
            <w:vAlign w:val="center"/>
          </w:tcPr>
          <w:p>
            <w:pPr>
              <w:pStyle w:val="52"/>
            </w:pPr>
            <w:r>
              <w:t>-25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98" w:type="dxa"/>
            <w:gridSpan w:val="15"/>
            <w:tcMar>
              <w:top w:w="0" w:type="dxa"/>
              <w:left w:w="108" w:type="dxa"/>
              <w:bottom w:w="0" w:type="dxa"/>
              <w:right w:w="108" w:type="dxa"/>
            </w:tcMar>
          </w:tcPr>
          <w:p>
            <w:pPr>
              <w:pStyle w:val="66"/>
            </w:pPr>
            <w:r>
              <w:t>Note 1:</w:t>
            </w:r>
            <w:r>
              <w:tab/>
            </w:r>
            <w:r>
              <w:t>The first and last measurement position with a 30 kHz filter is at ΔfOOB equals to 0.015 MHz and 0.985 MHz.</w:t>
            </w:r>
          </w:p>
          <w:p>
            <w:pPr>
              <w:pStyle w:val="66"/>
            </w:pPr>
            <w:r>
              <w:t>Note 2:</w:t>
            </w:r>
            <w:r>
              <w:tab/>
            </w:r>
            <w:r>
              <w:t>At the boundary of spectrum emission limit, the first and last measurement position with a 1 MHz filter is the inside of +0.5MHz and -0.5MHz, respectively.</w:t>
            </w:r>
          </w:p>
          <w:p>
            <w:pPr>
              <w:pStyle w:val="66"/>
            </w:pPr>
            <w:r>
              <w:t>Note 3:</w:t>
            </w:r>
            <w:r>
              <w:tab/>
            </w:r>
            <w:r>
              <w:t>The measurements are to be performed above the upper edge of the channel and below the lower edge of the channel.</w:t>
            </w:r>
          </w:p>
          <w:p>
            <w:pPr>
              <w:pStyle w:val="66"/>
              <w:rPr>
                <w:rFonts w:eastAsia="Yu Mincho" w:cs="Arial"/>
                <w:szCs w:val="18"/>
              </w:rPr>
            </w:pPr>
            <w:r>
              <w:t>Note 4:</w:t>
            </w:r>
            <w:r>
              <w:tab/>
            </w:r>
            <w:r>
              <w:t>TT = 1.5 dB for f ≤ 3GHz, TT = 1.8 dB for 3GHz &lt; f ≤ 4.2GHz, TT = 1.8 dB for 4.2GHz &lt; f ≤ 6.0GHz.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rPr>
          <w:color w:val="FF0000"/>
        </w:rPr>
      </w:pPr>
      <w:r>
        <w:rPr>
          <w:color w:val="FF0000"/>
        </w:rPr>
        <w:t>&lt;Unchanged Text Skipped&gt;</w:t>
      </w:r>
    </w:p>
    <w:p>
      <w:pPr>
        <w:pStyle w:val="5"/>
      </w:pPr>
      <w:bookmarkStart w:id="277" w:name="_Toc36227015"/>
      <w:bookmarkStart w:id="278" w:name="_Toc44324300"/>
      <w:bookmarkStart w:id="279" w:name="_Toc76020322"/>
      <w:bookmarkStart w:id="280" w:name="_Toc52990494"/>
      <w:bookmarkStart w:id="281" w:name="_Toc69306332"/>
      <w:bookmarkStart w:id="282" w:name="_Toc60825627"/>
      <w:bookmarkStart w:id="283" w:name="_Toc60823706"/>
      <w:bookmarkStart w:id="284" w:name="_Toc69309997"/>
      <w:bookmarkStart w:id="285" w:name="_Toc27478301"/>
      <w:bookmarkStart w:id="286" w:name="_Toc83720810"/>
      <w:r>
        <w:t>6.5D.2.3</w:t>
      </w:r>
      <w:r>
        <w:tab/>
      </w:r>
      <w:r>
        <w:t>Additional spectrum emission mask for UL MIMO</w:t>
      </w:r>
      <w:bookmarkEnd w:id="277"/>
      <w:bookmarkEnd w:id="278"/>
      <w:bookmarkEnd w:id="279"/>
      <w:bookmarkEnd w:id="280"/>
      <w:bookmarkEnd w:id="281"/>
      <w:bookmarkEnd w:id="282"/>
      <w:bookmarkEnd w:id="283"/>
      <w:bookmarkEnd w:id="284"/>
      <w:bookmarkEnd w:id="285"/>
      <w:bookmarkEnd w:id="286"/>
    </w:p>
    <w:p>
      <w:pPr>
        <w:pStyle w:val="74"/>
      </w:pPr>
      <w:r>
        <w:t xml:space="preserve">Editor’s note: </w:t>
      </w:r>
    </w:p>
    <w:p>
      <w:pPr>
        <w:pStyle w:val="74"/>
      </w:pPr>
      <w:r>
        <w:t>-Test coverage for the NS_XXs other than NS_35 and NS_04 is FFS</w:t>
      </w:r>
    </w:p>
    <w:p>
      <w:pPr>
        <w:pStyle w:val="8"/>
      </w:pPr>
      <w:bookmarkStart w:id="287" w:name="_Toc52990495"/>
      <w:bookmarkStart w:id="288" w:name="_Toc27478302"/>
      <w:bookmarkStart w:id="289" w:name="_Toc60825628"/>
      <w:bookmarkStart w:id="290" w:name="_Toc60823707"/>
      <w:bookmarkStart w:id="291" w:name="_Toc36227016"/>
      <w:bookmarkStart w:id="292" w:name="_Toc44324301"/>
      <w:r>
        <w:t>6.5D.2.3.1</w:t>
      </w:r>
      <w:r>
        <w:tab/>
      </w:r>
      <w:r>
        <w:t>Test purpose</w:t>
      </w:r>
      <w:bookmarkEnd w:id="287"/>
      <w:bookmarkEnd w:id="288"/>
      <w:bookmarkEnd w:id="289"/>
      <w:bookmarkEnd w:id="290"/>
      <w:bookmarkEnd w:id="291"/>
      <w:bookmarkEnd w:id="292"/>
    </w:p>
    <w:p>
      <w:pPr>
        <w:rPr>
          <w:lang w:eastAsia="ja-JP"/>
        </w:rPr>
      </w:pPr>
      <w:r>
        <w:rPr>
          <w:lang w:eastAsia="ja-JP"/>
        </w:rPr>
        <w:t>To verify that the power of any UE emission at each transmit antenna shall not exceed specified lever for the specified channel bandwidth under the deployment scenarios where additional requirements are specified.</w:t>
      </w:r>
    </w:p>
    <w:p>
      <w:pPr>
        <w:pStyle w:val="8"/>
      </w:pPr>
      <w:bookmarkStart w:id="293" w:name="_Toc52990496"/>
      <w:bookmarkStart w:id="294" w:name="_Toc44324302"/>
      <w:bookmarkStart w:id="295" w:name="_Toc60823708"/>
      <w:bookmarkStart w:id="296" w:name="_Toc60825629"/>
      <w:bookmarkStart w:id="297" w:name="_Toc27478303"/>
      <w:bookmarkStart w:id="298" w:name="_Toc36227017"/>
      <w:r>
        <w:t>6.5D.2.3.2</w:t>
      </w:r>
      <w:r>
        <w:tab/>
      </w:r>
      <w:r>
        <w:t>Test applicability</w:t>
      </w:r>
      <w:bookmarkEnd w:id="293"/>
      <w:bookmarkEnd w:id="294"/>
      <w:bookmarkEnd w:id="295"/>
      <w:bookmarkEnd w:id="296"/>
      <w:bookmarkEnd w:id="297"/>
      <w:bookmarkEnd w:id="298"/>
    </w:p>
    <w:p>
      <w:pPr>
        <w:rPr>
          <w:lang w:eastAsia="ja-JP"/>
        </w:rPr>
      </w:pPr>
      <w:r>
        <w:t>This test case applies to all types of NR UE release 15 and forward that supports UL MIMO.</w:t>
      </w:r>
    </w:p>
    <w:p>
      <w:pPr>
        <w:pStyle w:val="8"/>
      </w:pPr>
      <w:bookmarkStart w:id="299" w:name="_Toc27478304"/>
      <w:bookmarkStart w:id="300" w:name="_Toc44324303"/>
      <w:bookmarkStart w:id="301" w:name="_Toc60823709"/>
      <w:bookmarkStart w:id="302" w:name="_Toc52990497"/>
      <w:bookmarkStart w:id="303" w:name="_Toc36227018"/>
      <w:bookmarkStart w:id="304" w:name="_Toc60825630"/>
      <w:r>
        <w:t>6.5D.2.3.3</w:t>
      </w:r>
      <w:r>
        <w:tab/>
      </w:r>
      <w:r>
        <w:t>Minimum conformance requirements</w:t>
      </w:r>
      <w:bookmarkEnd w:id="299"/>
      <w:bookmarkEnd w:id="300"/>
      <w:bookmarkEnd w:id="301"/>
      <w:bookmarkEnd w:id="302"/>
      <w:bookmarkEnd w:id="303"/>
      <w:bookmarkEnd w:id="304"/>
    </w:p>
    <w:p>
      <w:r>
        <w:t>The power of any UE emission shall not exceed the levels specified in Table 6.5.2.3.3-1 for NS_35 and Table 6.5.2.3.3.2-1 for NS_04 for the specified channel bandwidth at each transmit antenna connector.</w:t>
      </w:r>
    </w:p>
    <w:p>
      <w:r>
        <w:t>The normative reference for this requirement is TS 38.101-1 [2] clause 6.5D.2 and 6.5.2.3</w:t>
      </w:r>
    </w:p>
    <w:p>
      <w:pPr>
        <w:pStyle w:val="8"/>
      </w:pPr>
      <w:bookmarkStart w:id="305" w:name="_Toc60825631"/>
      <w:bookmarkStart w:id="306" w:name="_Toc52990498"/>
      <w:bookmarkStart w:id="307" w:name="_Toc60823710"/>
      <w:bookmarkStart w:id="308" w:name="_Toc27478305"/>
      <w:bookmarkStart w:id="309" w:name="_Toc36227019"/>
      <w:bookmarkStart w:id="310" w:name="_Toc44324304"/>
      <w:r>
        <w:t>6.5D.2.3.4</w:t>
      </w:r>
      <w:r>
        <w:tab/>
      </w:r>
      <w:r>
        <w:t>Test description</w:t>
      </w:r>
      <w:bookmarkEnd w:id="305"/>
      <w:bookmarkEnd w:id="306"/>
      <w:bookmarkEnd w:id="307"/>
      <w:bookmarkEnd w:id="308"/>
      <w:bookmarkEnd w:id="309"/>
      <w:bookmarkEnd w:id="310"/>
    </w:p>
    <w:p>
      <w:pPr>
        <w:pStyle w:val="8"/>
      </w:pPr>
      <w:r>
        <w:t>6.5D.2.3.4.1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rPr>
          <w:lang w:eastAsia="zh-CN"/>
        </w:rPr>
        <w:t>5.3.5-1</w:t>
      </w:r>
      <w:r>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pPr>
        <w:pStyle w:val="55"/>
        <w:rPr>
          <w:lang w:eastAsia="zh-CN"/>
        </w:rPr>
      </w:pPr>
      <w:r>
        <w:t>Table 6.5D.2.3.4.1-1: Test Configuration T</w:t>
      </w:r>
      <w:r>
        <w:rPr>
          <w:lang w:eastAsia="zh-CN"/>
        </w:rPr>
        <w:t>able for NS_35 for band n71</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7"/>
        <w:gridCol w:w="786"/>
        <w:gridCol w:w="786"/>
        <w:gridCol w:w="1983"/>
        <w:gridCol w:w="1131"/>
        <w:gridCol w:w="2139"/>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Environment as specified in TS 38.508-1 [5] subclause 4.1</w:t>
            </w:r>
          </w:p>
        </w:tc>
        <w:tc>
          <w:tcPr>
            <w:tcW w:w="1925" w:type="pct"/>
            <w:gridSpan w:val="2"/>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Frequencies as specified in TS 38.508-1 [5] subclause 4.3.1</w:t>
            </w:r>
          </w:p>
        </w:tc>
        <w:tc>
          <w:tcPr>
            <w:tcW w:w="1925" w:type="pct"/>
            <w:gridSpan w:val="2"/>
            <w:vAlign w:val="center"/>
          </w:tcPr>
          <w:p>
            <w:pPr>
              <w:pStyle w:val="53"/>
            </w:pPr>
            <w:r>
              <w:t>Low range and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Channel Bandwidths as specified in TS 38.508-1 [5] subclause 4.3.1</w:t>
            </w:r>
          </w:p>
        </w:tc>
        <w:tc>
          <w:tcPr>
            <w:tcW w:w="1925" w:type="pct"/>
            <w:gridSpan w:val="2"/>
            <w:vAlign w:val="center"/>
          </w:tcPr>
          <w:p>
            <w:pPr>
              <w:pStyle w:val="53"/>
            </w:pPr>
            <w:r>
              <w:t>Lowest and Highest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pPr>
            <w:r>
              <w:t>Test SCS as specified in Table 5.3.5-1</w:t>
            </w:r>
          </w:p>
        </w:tc>
        <w:tc>
          <w:tcPr>
            <w:tcW w:w="1925" w:type="pct"/>
            <w:gridSpan w:val="2"/>
            <w:vAlign w:val="center"/>
          </w:tcPr>
          <w:p>
            <w:pPr>
              <w:pStyle w:val="53"/>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Pr>
          <w:p>
            <w:pPr>
              <w:pStyle w:val="52"/>
              <w:rPr>
                <w:b/>
                <w:bCs/>
              </w:rPr>
            </w:pPr>
            <w:r>
              <w:rPr>
                <w:b/>
                <w:bCs/>
              </w:rPr>
              <w:t>A-MPR test parameters for 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1" w:type="pct"/>
            <w:gridSpan w:val="5"/>
            <w:shd w:val="clear" w:color="auto" w:fill="auto"/>
          </w:tcPr>
          <w:p>
            <w:pPr>
              <w:pStyle w:val="52"/>
              <w:rPr>
                <w:b/>
                <w:bCs/>
              </w:rPr>
            </w:pPr>
            <w:r>
              <w:rPr>
                <w:b/>
                <w:bCs/>
              </w:rPr>
              <w:t>Downlink Configuration</w:t>
            </w:r>
          </w:p>
        </w:tc>
        <w:tc>
          <w:tcPr>
            <w:tcW w:w="2499" w:type="pct"/>
            <w:gridSpan w:val="3"/>
          </w:tcPr>
          <w:p>
            <w:pPr>
              <w:pStyle w:val="52"/>
              <w:rPr>
                <w:b/>
                <w:bCs/>
                <w:lang w:eastAsia="zh-CN"/>
              </w:rPr>
            </w:pPr>
            <w:r>
              <w:rPr>
                <w:b/>
                <w:bCs/>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b/>
                <w:bCs/>
                <w:lang w:eastAsia="zh-CN"/>
              </w:rPr>
            </w:pPr>
            <w:r>
              <w:rPr>
                <w:b/>
                <w:bCs/>
                <w:lang w:eastAsia="zh-CN"/>
              </w:rPr>
              <w:t>Test ID</w:t>
            </w:r>
          </w:p>
        </w:tc>
        <w:tc>
          <w:tcPr>
            <w:tcW w:w="399" w:type="pct"/>
            <w:shd w:val="clear" w:color="auto" w:fill="auto"/>
          </w:tcPr>
          <w:p>
            <w:pPr>
              <w:pStyle w:val="52"/>
              <w:rPr>
                <w:b/>
                <w:bCs/>
                <w:lang w:eastAsia="zh-CN"/>
              </w:rPr>
            </w:pPr>
            <w:r>
              <w:rPr>
                <w:b/>
                <w:bCs/>
              </w:rPr>
              <w:t>Freq</w:t>
            </w:r>
          </w:p>
        </w:tc>
        <w:tc>
          <w:tcPr>
            <w:tcW w:w="399" w:type="pct"/>
          </w:tcPr>
          <w:p>
            <w:pPr>
              <w:pStyle w:val="52"/>
              <w:rPr>
                <w:b/>
                <w:bCs/>
              </w:rPr>
            </w:pPr>
            <w:r>
              <w:rPr>
                <w:b/>
                <w:bCs/>
              </w:rPr>
              <w:t>ChBw</w:t>
            </w:r>
          </w:p>
        </w:tc>
        <w:tc>
          <w:tcPr>
            <w:tcW w:w="399" w:type="pct"/>
          </w:tcPr>
          <w:p>
            <w:pPr>
              <w:pStyle w:val="52"/>
              <w:rPr>
                <w:b/>
                <w:bCs/>
              </w:rPr>
            </w:pPr>
            <w:r>
              <w:rPr>
                <w:b/>
                <w:bCs/>
              </w:rPr>
              <w:t>SCS</w:t>
            </w:r>
          </w:p>
        </w:tc>
        <w:tc>
          <w:tcPr>
            <w:tcW w:w="1006" w:type="pct"/>
            <w:tcBorders>
              <w:top w:val="single" w:color="auto" w:sz="4" w:space="0"/>
              <w:bottom w:val="single" w:color="auto" w:sz="4" w:space="0"/>
            </w:tcBorders>
            <w:shd w:val="clear" w:color="auto" w:fill="auto"/>
          </w:tcPr>
          <w:p>
            <w:pPr>
              <w:pStyle w:val="52"/>
              <w:rPr>
                <w:b/>
                <w:bCs/>
              </w:rPr>
            </w:pPr>
            <w:r>
              <w:rPr>
                <w:b/>
                <w:bCs/>
              </w:rPr>
              <w:t>N/A for A-MPR testing.</w:t>
            </w:r>
          </w:p>
        </w:tc>
        <w:tc>
          <w:tcPr>
            <w:tcW w:w="1659" w:type="pct"/>
            <w:gridSpan w:val="2"/>
          </w:tcPr>
          <w:p>
            <w:pPr>
              <w:pStyle w:val="52"/>
              <w:rPr>
                <w:b/>
                <w:bCs/>
                <w:lang w:eastAsia="zh-CN"/>
              </w:rPr>
            </w:pPr>
            <w:r>
              <w:rPr>
                <w:b/>
                <w:bCs/>
                <w:lang w:eastAsia="zh-CN"/>
              </w:rPr>
              <w:t>Modulation</w:t>
            </w:r>
          </w:p>
          <w:p>
            <w:pPr>
              <w:pStyle w:val="52"/>
              <w:rPr>
                <w:b/>
                <w:bCs/>
                <w:lang w:eastAsia="zh-CN"/>
              </w:rPr>
            </w:pPr>
          </w:p>
        </w:tc>
        <w:tc>
          <w:tcPr>
            <w:tcW w:w="840" w:type="pct"/>
            <w:shd w:val="clear" w:color="auto" w:fill="auto"/>
          </w:tcPr>
          <w:p>
            <w:pPr>
              <w:pStyle w:val="52"/>
              <w:rPr>
                <w:b/>
                <w:bCs/>
                <w:lang w:eastAsia="zh-CN"/>
              </w:rPr>
            </w:pPr>
            <w:r>
              <w:rPr>
                <w:b/>
                <w:bCs/>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1</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QPSK</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2</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QPSK</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3</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QPSK</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4</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16 QAM</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5</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16 QAM</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6</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16 QAM</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lang w:eastAsia="zh-CN"/>
              </w:rPr>
            </w:pPr>
            <w:r>
              <w:rPr>
                <w:lang w:eastAsia="zh-CN"/>
              </w:rPr>
              <w:t>7</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64 QAM</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lang w:eastAsia="zh-CN"/>
              </w:rPr>
            </w:pPr>
            <w:r>
              <w:rPr>
                <w:lang w:eastAsia="zh-CN"/>
              </w:rPr>
              <w:t>8</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64 QAM</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9</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64 QAM</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 w:hRule="atLeast"/>
        </w:trPr>
        <w:tc>
          <w:tcPr>
            <w:tcW w:w="298" w:type="pct"/>
            <w:shd w:val="clear" w:color="auto" w:fill="auto"/>
          </w:tcPr>
          <w:p>
            <w:pPr>
              <w:pStyle w:val="52"/>
              <w:rPr>
                <w:lang w:eastAsia="zh-CN"/>
              </w:rPr>
            </w:pPr>
            <w:r>
              <w:rPr>
                <w:lang w:eastAsia="zh-CN"/>
              </w:rPr>
              <w:t>10</w:t>
            </w:r>
          </w:p>
        </w:tc>
        <w:tc>
          <w:tcPr>
            <w:tcW w:w="399" w:type="pct"/>
            <w:shd w:val="clear" w:color="auto" w:fill="auto"/>
          </w:tcPr>
          <w:p>
            <w:pPr>
              <w:pStyle w:val="52"/>
            </w:pPr>
            <w:r>
              <w:t>Low</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256 QAM</w:t>
            </w:r>
          </w:p>
        </w:tc>
        <w:tc>
          <w:tcPr>
            <w:tcW w:w="840" w:type="pct"/>
            <w:shd w:val="clear" w:color="auto" w:fill="auto"/>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lang w:eastAsia="zh-CN"/>
              </w:rPr>
            </w:pPr>
            <w:r>
              <w:rPr>
                <w:lang w:eastAsia="zh-CN"/>
              </w:rPr>
              <w:t>11</w:t>
            </w:r>
          </w:p>
        </w:tc>
        <w:tc>
          <w:tcPr>
            <w:tcW w:w="399" w:type="pct"/>
            <w:shd w:val="clear" w:color="auto" w:fill="auto"/>
          </w:tcPr>
          <w:p>
            <w:pPr>
              <w:pStyle w:val="52"/>
            </w:pPr>
            <w:r>
              <w:t>High</w:t>
            </w:r>
          </w:p>
        </w:tc>
        <w:tc>
          <w:tcPr>
            <w:tcW w:w="399" w:type="pct"/>
          </w:tcPr>
          <w:p>
            <w:pPr>
              <w:pStyle w:val="52"/>
            </w:pPr>
          </w:p>
        </w:tc>
        <w:tc>
          <w:tcPr>
            <w:tcW w:w="399" w:type="pct"/>
          </w:tcPr>
          <w:p>
            <w:pPr>
              <w:pStyle w:val="52"/>
            </w:pPr>
          </w:p>
        </w:tc>
        <w:tc>
          <w:tcPr>
            <w:tcW w:w="1006" w:type="pct"/>
            <w:tcBorders>
              <w:top w:val="nil"/>
              <w:bottom w:val="nil"/>
            </w:tcBorders>
            <w:shd w:val="clear" w:color="auto" w:fill="auto"/>
          </w:tcPr>
          <w:p>
            <w:pPr>
              <w:pStyle w:val="52"/>
            </w:pPr>
          </w:p>
        </w:tc>
        <w:tc>
          <w:tcPr>
            <w:tcW w:w="1659" w:type="pct"/>
            <w:gridSpan w:val="2"/>
          </w:tcPr>
          <w:p>
            <w:pPr>
              <w:pStyle w:val="52"/>
            </w:pPr>
            <w:r>
              <w:t>CP-OFDM 256 QAM</w:t>
            </w:r>
          </w:p>
        </w:tc>
        <w:tc>
          <w:tcPr>
            <w:tcW w:w="840" w:type="pct"/>
            <w:shd w:val="clear" w:color="auto" w:fill="auto"/>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pPr>
            <w:r>
              <w:t>12</w:t>
            </w:r>
          </w:p>
        </w:tc>
        <w:tc>
          <w:tcPr>
            <w:tcW w:w="399" w:type="pct"/>
            <w:shd w:val="clear" w:color="auto" w:fill="auto"/>
          </w:tcPr>
          <w:p>
            <w:pPr>
              <w:pStyle w:val="52"/>
            </w:pPr>
            <w:r>
              <w:t>Default</w:t>
            </w:r>
          </w:p>
        </w:tc>
        <w:tc>
          <w:tcPr>
            <w:tcW w:w="399" w:type="pct"/>
          </w:tcPr>
          <w:p>
            <w:pPr>
              <w:pStyle w:val="52"/>
            </w:pPr>
          </w:p>
        </w:tc>
        <w:tc>
          <w:tcPr>
            <w:tcW w:w="399" w:type="pct"/>
          </w:tcPr>
          <w:p>
            <w:pPr>
              <w:pStyle w:val="52"/>
            </w:pPr>
          </w:p>
        </w:tc>
        <w:tc>
          <w:tcPr>
            <w:tcW w:w="1006" w:type="pct"/>
            <w:tcBorders>
              <w:top w:val="nil"/>
            </w:tcBorders>
            <w:shd w:val="clear" w:color="auto" w:fill="auto"/>
          </w:tcPr>
          <w:p>
            <w:pPr>
              <w:pStyle w:val="52"/>
            </w:pPr>
          </w:p>
        </w:tc>
        <w:tc>
          <w:tcPr>
            <w:tcW w:w="1659" w:type="pct"/>
            <w:gridSpan w:val="2"/>
          </w:tcPr>
          <w:p>
            <w:pPr>
              <w:pStyle w:val="52"/>
            </w:pPr>
            <w:r>
              <w:t>CP-OFDM 256 QAM</w:t>
            </w:r>
          </w:p>
        </w:tc>
        <w:tc>
          <w:tcPr>
            <w:tcW w:w="840"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zh-CN"/>
              </w:rPr>
            </w:pPr>
            <w:r>
              <w:rPr>
                <w:lang w:eastAsia="zh-CN"/>
              </w:rPr>
              <w:t>NOTE 2:</w:t>
            </w:r>
            <w:r>
              <w:rPr>
                <w:lang w:eastAsia="zh-CN"/>
              </w:rPr>
              <w:tab/>
            </w:r>
            <w:r>
              <w:rPr>
                <w:lang w:eastAsia="zh-CN"/>
              </w:rPr>
              <w:t xml:space="preserve">Confining to channel bandwidths of </w:t>
            </w:r>
            <w:r>
              <w:t xml:space="preserve">5MHz, 10MHz, 15MHz and 20MHz, which are applicable to NS_35 according to </w:t>
            </w:r>
            <w:bookmarkStart w:id="311" w:name="_Hlk516051685"/>
            <w:r>
              <w:t>TS 38.101-1[2] Table 6.2.3.1-1</w:t>
            </w:r>
            <w:bookmarkEnd w:id="311"/>
            <w:r>
              <w:t>.</w:t>
            </w:r>
          </w:p>
        </w:tc>
      </w:tr>
    </w:tbl>
    <w:p>
      <w:pPr>
        <w:rPr>
          <w:lang w:eastAsia="zh-CN"/>
        </w:rPr>
      </w:pPr>
    </w:p>
    <w:p>
      <w:pPr>
        <w:pStyle w:val="55"/>
        <w:rPr>
          <w:lang w:eastAsia="zh-CN"/>
        </w:rPr>
      </w:pPr>
      <w:r>
        <w:t>Table 6.5D.2.3.4.1-2: Test Configuration T</w:t>
      </w:r>
      <w:r>
        <w:rPr>
          <w:lang w:eastAsia="zh-CN"/>
        </w:rPr>
        <w:t>able for NS_04 for band n41</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2915"/>
        <w:gridCol w:w="2066"/>
        <w:gridCol w:w="538"/>
        <w:gridCol w:w="1926"/>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ascii="Arial" w:hAnsi="Arial" w:eastAsia="宋体"/>
                <w:b/>
                <w:sz w:val="18"/>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Environment as specified in TS 38.508-1 [5] subclause 4.1</w:t>
            </w:r>
          </w:p>
        </w:tc>
        <w:tc>
          <w:tcPr>
            <w:tcW w:w="1895" w:type="pct"/>
            <w:gridSpan w:val="2"/>
            <w:vAlign w:val="center"/>
          </w:tcPr>
          <w:p>
            <w:pPr>
              <w:keepNext/>
              <w:keepLines/>
              <w:spacing w:after="0"/>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Frequencies as specified in TS 38.508-1 [5] subclause 4.3.1</w:t>
            </w:r>
          </w:p>
        </w:tc>
        <w:tc>
          <w:tcPr>
            <w:tcW w:w="1895" w:type="pct"/>
            <w:gridSpan w:val="2"/>
            <w:vAlign w:val="center"/>
          </w:tcPr>
          <w:p>
            <w:pPr>
              <w:keepNext/>
              <w:keepLines/>
              <w:spacing w:after="0"/>
              <w:rPr>
                <w:rFonts w:ascii="Arial" w:hAnsi="Arial" w:eastAsia="宋体"/>
                <w:sz w:val="18"/>
              </w:rPr>
            </w:pPr>
            <w:r>
              <w:rPr>
                <w:rFonts w:ascii="Arial" w:hAnsi="Arial" w:eastAsia="宋体"/>
                <w:sz w:val="18"/>
              </w:rPr>
              <w:t>(See Freq column)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Channel Bandwidths as specified in TS 38.508-1 [5] subclause 4.3.1</w:t>
            </w:r>
          </w:p>
        </w:tc>
        <w:tc>
          <w:tcPr>
            <w:tcW w:w="1895" w:type="pct"/>
            <w:gridSpan w:val="2"/>
            <w:vAlign w:val="center"/>
          </w:tcPr>
          <w:p>
            <w:pPr>
              <w:keepNext/>
              <w:keepLines/>
              <w:spacing w:after="0"/>
              <w:rPr>
                <w:rFonts w:ascii="Arial" w:hAnsi="Arial" w:eastAsia="宋体"/>
                <w:sz w:val="18"/>
                <w:lang w:eastAsia="zh-CN"/>
              </w:rPr>
            </w:pPr>
            <w:r>
              <w:rPr>
                <w:rFonts w:ascii="Arial" w:hAnsi="Arial" w:eastAsia="宋体"/>
                <w:sz w:val="18"/>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rPr>
            </w:pPr>
            <w:r>
              <w:rPr>
                <w:rFonts w:ascii="Arial" w:hAnsi="Arial" w:eastAsia="宋体"/>
                <w:sz w:val="18"/>
              </w:rPr>
              <w:t>Test SCS as specified in Table 5.3.5-1</w:t>
            </w:r>
          </w:p>
        </w:tc>
        <w:tc>
          <w:tcPr>
            <w:tcW w:w="1895" w:type="pct"/>
            <w:gridSpan w:val="2"/>
            <w:vAlign w:val="center"/>
          </w:tcPr>
          <w:p>
            <w:pPr>
              <w:keepNext/>
              <w:keepLines/>
              <w:spacing w:after="0"/>
              <w:rPr>
                <w:rFonts w:ascii="Arial" w:hAnsi="Arial" w:eastAsia="宋体"/>
                <w:sz w:val="18"/>
                <w:lang w:eastAsia="zh-CN"/>
              </w:rPr>
            </w:pPr>
            <w:r>
              <w:rPr>
                <w:rFonts w:ascii="Arial" w:hAnsi="Arial" w:eastAsia="宋体"/>
                <w:sz w:val="18"/>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tcPr>
          <w:p>
            <w:pPr>
              <w:keepNext/>
              <w:keepLines/>
              <w:spacing w:after="0"/>
              <w:jc w:val="center"/>
              <w:rPr>
                <w:rFonts w:ascii="Arial" w:hAnsi="Arial" w:eastAsia="宋体"/>
                <w:b/>
                <w:sz w:val="18"/>
              </w:rPr>
            </w:pPr>
            <w:r>
              <w:rPr>
                <w:rFonts w:ascii="Arial" w:hAnsi="Arial" w:eastAsia="宋体"/>
                <w:b/>
                <w:sz w:val="18"/>
              </w:rPr>
              <w:t>A-SEM test parameters for NS_04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vMerge w:val="restart"/>
            <w:shd w:val="clear" w:color="auto" w:fill="auto"/>
            <w:vAlign w:val="center"/>
          </w:tcPr>
          <w:p>
            <w:pPr>
              <w:keepNext/>
              <w:keepLines/>
              <w:spacing w:after="0"/>
              <w:jc w:val="center"/>
              <w:rPr>
                <w:rFonts w:ascii="Arial" w:hAnsi="Arial" w:eastAsia="宋体"/>
                <w:b/>
                <w:sz w:val="18"/>
                <w:lang w:eastAsia="zh-CN"/>
              </w:rPr>
            </w:pPr>
            <w:r>
              <w:rPr>
                <w:rFonts w:ascii="Arial" w:hAnsi="Arial" w:eastAsia="宋体"/>
                <w:b/>
                <w:sz w:val="18"/>
                <w:lang w:eastAsia="zh-CN"/>
              </w:rPr>
              <w:t>Test ID</w:t>
            </w:r>
          </w:p>
        </w:tc>
        <w:tc>
          <w:tcPr>
            <w:tcW w:w="1479" w:type="pct"/>
            <w:vMerge w:val="restart"/>
            <w:shd w:val="clear" w:color="auto" w:fill="auto"/>
            <w:vAlign w:val="center"/>
          </w:tcPr>
          <w:p>
            <w:pPr>
              <w:keepNext/>
              <w:keepLines/>
              <w:spacing w:after="0"/>
              <w:jc w:val="center"/>
              <w:rPr>
                <w:rFonts w:ascii="Arial" w:hAnsi="Arial" w:eastAsia="宋体"/>
                <w:b/>
                <w:sz w:val="18"/>
              </w:rPr>
            </w:pPr>
            <w:r>
              <w:rPr>
                <w:rFonts w:ascii="Arial" w:hAnsi="Arial" w:eastAsia="宋体"/>
                <w:b/>
                <w:sz w:val="18"/>
                <w:lang w:eastAsia="zh-CN"/>
              </w:rPr>
              <w:t>Freq</w:t>
            </w:r>
          </w:p>
        </w:tc>
        <w:tc>
          <w:tcPr>
            <w:tcW w:w="1048" w:type="pct"/>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Downlink Configuration</w:t>
            </w:r>
          </w:p>
        </w:tc>
        <w:tc>
          <w:tcPr>
            <w:tcW w:w="2168" w:type="pct"/>
            <w:gridSpan w:val="3"/>
          </w:tcPr>
          <w:p>
            <w:pPr>
              <w:keepNext/>
              <w:keepLines/>
              <w:spacing w:after="0"/>
              <w:jc w:val="center"/>
              <w:rPr>
                <w:rFonts w:ascii="Arial" w:hAnsi="Arial" w:eastAsia="宋体"/>
                <w:b/>
                <w:sz w:val="18"/>
                <w:lang w:eastAsia="zh-CN"/>
              </w:rPr>
            </w:pPr>
            <w:r>
              <w:rPr>
                <w:rFonts w:ascii="Arial" w:hAnsi="Arial" w:eastAsia="宋体"/>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vMerge w:val="continue"/>
            <w:shd w:val="clear" w:color="auto" w:fill="auto"/>
          </w:tcPr>
          <w:p>
            <w:pPr>
              <w:keepNext/>
              <w:keepLines/>
              <w:spacing w:after="0"/>
              <w:jc w:val="center"/>
              <w:rPr>
                <w:rFonts w:ascii="Arial" w:hAnsi="Arial" w:eastAsia="宋体"/>
                <w:b/>
                <w:sz w:val="18"/>
                <w:lang w:eastAsia="zh-CN"/>
              </w:rPr>
            </w:pPr>
          </w:p>
        </w:tc>
        <w:tc>
          <w:tcPr>
            <w:tcW w:w="1479" w:type="pct"/>
            <w:vMerge w:val="continue"/>
            <w:shd w:val="clear" w:color="auto" w:fill="auto"/>
          </w:tcPr>
          <w:p>
            <w:pPr>
              <w:keepNext/>
              <w:keepLines/>
              <w:spacing w:after="0"/>
              <w:jc w:val="center"/>
              <w:rPr>
                <w:rFonts w:ascii="Arial" w:hAnsi="Arial" w:eastAsia="宋体"/>
                <w:sz w:val="18"/>
              </w:rPr>
            </w:pPr>
          </w:p>
        </w:tc>
        <w:tc>
          <w:tcPr>
            <w:tcW w:w="1048" w:type="pct"/>
            <w:tcBorders>
              <w:top w:val="single" w:color="auto" w:sz="4" w:space="0"/>
              <w:bottom w:val="single" w:color="auto" w:sz="4" w:space="0"/>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b/>
                <w:sz w:val="18"/>
                <w:lang w:eastAsia="zh-CN"/>
              </w:rPr>
            </w:pPr>
            <w:r>
              <w:rPr>
                <w:rFonts w:ascii="Arial" w:hAnsi="Arial" w:eastAsia="宋体"/>
                <w:b/>
                <w:sz w:val="18"/>
                <w:lang w:eastAsia="zh-CN"/>
              </w:rPr>
              <w:t>Modulation</w:t>
            </w:r>
          </w:p>
        </w:tc>
        <w:tc>
          <w:tcPr>
            <w:tcW w:w="918" w:type="pct"/>
            <w:shd w:val="clear" w:color="auto" w:fill="auto"/>
          </w:tcPr>
          <w:p>
            <w:pPr>
              <w:keepNext/>
              <w:keepLines/>
              <w:spacing w:after="0"/>
              <w:jc w:val="center"/>
              <w:rPr>
                <w:rFonts w:ascii="Arial" w:hAnsi="Arial" w:eastAsia="宋体"/>
                <w:b/>
                <w:sz w:val="18"/>
                <w:lang w:eastAsia="zh-CN"/>
              </w:rPr>
            </w:pPr>
            <w:r>
              <w:rPr>
                <w:rFonts w:ascii="Arial" w:hAnsi="Arial" w:eastAsia="宋体"/>
                <w:b/>
                <w:sz w:val="18"/>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w:t>
            </w:r>
          </w:p>
        </w:tc>
        <w:tc>
          <w:tcPr>
            <w:tcW w:w="1479" w:type="pct"/>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3</w:t>
            </w:r>
          </w:p>
        </w:tc>
        <w:tc>
          <w:tcPr>
            <w:tcW w:w="1479" w:type="pct"/>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/2 +</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4</w:t>
            </w:r>
          </w:p>
        </w:tc>
        <w:tc>
          <w:tcPr>
            <w:tcW w:w="1479" w:type="pct"/>
            <w:tcBorders>
              <w:top w:val="nil"/>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tcPr>
          <w:p>
            <w:pPr>
              <w:keepNext/>
              <w:keepLines/>
              <w:spacing w:after="0"/>
              <w:jc w:val="center"/>
              <w:rPr>
                <w:rFonts w:ascii="Arial" w:hAnsi="Arial" w:eastAsia="宋体"/>
                <w:sz w:val="18"/>
              </w:rPr>
            </w:pPr>
            <w:r>
              <w:rPr>
                <w:rFonts w:ascii="Arial" w:hAnsi="Arial" w:eastAsia="宋体"/>
                <w:sz w:val="18"/>
              </w:rPr>
              <w:t>N/A</w:t>
            </w: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5</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6</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7</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QPSK</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8</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9</w:t>
            </w:r>
          </w:p>
        </w:tc>
        <w:tc>
          <w:tcPr>
            <w:tcW w:w="1479" w:type="pct"/>
            <w:tcBorders>
              <w:bottom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10</w:t>
            </w:r>
          </w:p>
        </w:tc>
        <w:tc>
          <w:tcPr>
            <w:tcW w:w="1479" w:type="pct"/>
            <w:tcBorders>
              <w:bottom w:val="nil"/>
            </w:tcBorders>
            <w:shd w:val="clear" w:color="auto" w:fill="auto"/>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/2 +</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11</w:t>
            </w:r>
          </w:p>
        </w:tc>
        <w:tc>
          <w:tcPr>
            <w:tcW w:w="1479" w:type="pct"/>
            <w:tcBorders>
              <w:top w:val="nil"/>
            </w:tcBorders>
            <w:shd w:val="clear" w:color="auto" w:fill="auto"/>
          </w:tcPr>
          <w:p>
            <w:pPr>
              <w:keepNext/>
              <w:keepLines/>
              <w:spacing w:after="0"/>
              <w:jc w:val="center"/>
              <w:rPr>
                <w:rFonts w:ascii="Arial" w:hAnsi="Arial" w:eastAsia="宋体"/>
                <w:sz w:val="18"/>
              </w:rPr>
            </w:pP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12</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13</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14</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16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15</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16</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vAlign w:val="center"/>
          </w:tcPr>
          <w:p>
            <w:pPr>
              <w:keepNext/>
              <w:keepLines/>
              <w:spacing w:after="0"/>
              <w:jc w:val="center"/>
              <w:rPr>
                <w:rFonts w:ascii="Arial" w:hAnsi="Arial" w:eastAsia="宋体"/>
                <w:sz w:val="18"/>
                <w:lang w:eastAsia="zh-CN"/>
              </w:rPr>
            </w:pPr>
            <w:r>
              <w:rPr>
                <w:rFonts w:ascii="Arial" w:hAnsi="Arial" w:eastAsia="宋体"/>
                <w:sz w:val="18"/>
                <w:lang w:eastAsia="zh-CN"/>
              </w:rPr>
              <w:t>17</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 xml:space="preserve">/2 + </w:t>
            </w:r>
            <w:r>
              <w:rPr>
                <w:rFonts w:ascii="Arial" w:hAnsi="Arial" w:eastAsia="宋体"/>
                <w:sz w:val="18"/>
              </w:rPr>
              <w:br w:type="textWrapping"/>
            </w: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vAlign w:val="center"/>
          </w:tcPr>
          <w:p>
            <w:pPr>
              <w:keepNext/>
              <w:keepLines/>
              <w:spacing w:after="0"/>
              <w:jc w:val="center"/>
              <w:rPr>
                <w:rFonts w:ascii="Arial" w:hAnsi="Arial" w:eastAsia="宋体"/>
                <w:sz w:val="18"/>
              </w:rPr>
            </w:pPr>
          </w:p>
        </w:tc>
        <w:tc>
          <w:tcPr>
            <w:tcW w:w="1250" w:type="pct"/>
            <w:gridSpan w:val="2"/>
            <w:vAlign w:val="center"/>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18</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19</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64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20</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Low</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21</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 xml:space="preserve">2496 + 3/2 </w:t>
            </w:r>
            <w:r>
              <w:rPr>
                <w:rFonts w:ascii="Arial" w:hAnsi="Arial" w:eastAsia="宋体" w:cs="Arial"/>
                <w:sz w:val="18"/>
              </w:rPr>
              <w:t xml:space="preserve">× </w:t>
            </w:r>
            <w:r>
              <w:rPr>
                <w:rFonts w:ascii="Arial" w:hAnsi="Arial" w:eastAsia="宋体"/>
                <w:sz w:val="18"/>
              </w:rPr>
              <w:t>BW</w:t>
            </w:r>
            <w:r>
              <w:rPr>
                <w:rFonts w:ascii="Arial" w:hAnsi="Arial" w:eastAsia="宋体"/>
                <w:sz w:val="18"/>
                <w:vertAlign w:val="subscript"/>
              </w:rPr>
              <w:t>Channel</w:t>
            </w:r>
            <w:r>
              <w:rPr>
                <w:rFonts w:ascii="Arial" w:hAnsi="Arial" w:eastAsia="宋体"/>
                <w:sz w:val="18"/>
              </w:rPr>
              <w:t xml:space="preserve"> </w:t>
            </w:r>
            <w:r>
              <w:rPr>
                <w:rFonts w:ascii="Arial" w:hAnsi="Arial" w:eastAsia="宋体"/>
                <w:sz w:val="18"/>
              </w:rPr>
              <w:sym w:font="Symbol" w:char="F02D"/>
            </w:r>
            <w:r>
              <w:rPr>
                <w:rFonts w:ascii="Arial" w:hAnsi="Arial" w:eastAsia="宋体"/>
                <w:sz w:val="18"/>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vAlign w:val="center"/>
          </w:tcPr>
          <w:p>
            <w:pPr>
              <w:keepNext/>
              <w:keepLines/>
              <w:spacing w:after="0"/>
              <w:jc w:val="center"/>
              <w:rPr>
                <w:rFonts w:ascii="Arial" w:hAnsi="Arial" w:eastAsia="宋体"/>
                <w:sz w:val="18"/>
                <w:lang w:eastAsia="zh-CN"/>
              </w:rPr>
            </w:pPr>
            <w:r>
              <w:rPr>
                <w:rFonts w:ascii="Arial" w:hAnsi="Arial" w:eastAsia="宋体"/>
                <w:sz w:val="18"/>
                <w:lang w:eastAsia="zh-CN"/>
              </w:rPr>
              <w:t>22</w:t>
            </w:r>
          </w:p>
        </w:tc>
        <w:tc>
          <w:tcPr>
            <w:tcW w:w="1479"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2496 + BW</w:t>
            </w:r>
            <w:r>
              <w:rPr>
                <w:rFonts w:ascii="Arial" w:hAnsi="Arial" w:eastAsia="宋体"/>
                <w:sz w:val="18"/>
                <w:vertAlign w:val="subscript"/>
              </w:rPr>
              <w:t xml:space="preserve">Channel </w:t>
            </w:r>
            <w:r>
              <w:rPr>
                <w:rFonts w:ascii="Arial" w:hAnsi="Arial" w:eastAsia="宋体"/>
                <w:sz w:val="18"/>
              </w:rPr>
              <w:t xml:space="preserve">/2 + </w:t>
            </w:r>
            <w:r>
              <w:rPr>
                <w:rFonts w:ascii="Arial" w:hAnsi="Arial" w:eastAsia="宋体"/>
                <w:sz w:val="18"/>
              </w:rPr>
              <w:br w:type="textWrapping"/>
            </w:r>
            <w:r>
              <w:rPr>
                <w:rFonts w:ascii="Arial" w:hAnsi="Arial" w:eastAsia="宋体"/>
                <w:sz w:val="18"/>
              </w:rPr>
              <w:t xml:space="preserve">MAX(10 MHz, 0.25 </w:t>
            </w:r>
            <w:r>
              <w:rPr>
                <w:rFonts w:ascii="Arial" w:hAnsi="Arial" w:eastAsia="宋体" w:cs="Arial"/>
                <w:sz w:val="18"/>
              </w:rPr>
              <w:t>×</w:t>
            </w:r>
            <w:r>
              <w:rPr>
                <w:rFonts w:ascii="Arial" w:hAnsi="Arial" w:eastAsia="宋体"/>
                <w:sz w:val="18"/>
              </w:rPr>
              <w:t xml:space="preserve"> BW</w:t>
            </w:r>
            <w:r>
              <w:rPr>
                <w:rFonts w:ascii="Arial" w:hAnsi="Arial" w:eastAsia="宋体"/>
                <w:sz w:val="18"/>
                <w:vertAlign w:val="subscript"/>
              </w:rPr>
              <w:t>Channel</w:t>
            </w:r>
            <w:r>
              <w:rPr>
                <w:rFonts w:ascii="Arial" w:hAnsi="Arial" w:eastAsia="宋体"/>
                <w:sz w:val="18"/>
              </w:rPr>
              <w:t>)</w:t>
            </w:r>
          </w:p>
        </w:tc>
        <w:tc>
          <w:tcPr>
            <w:tcW w:w="1048" w:type="pct"/>
            <w:tcBorders>
              <w:top w:val="nil"/>
              <w:bottom w:val="nil"/>
            </w:tcBorders>
            <w:shd w:val="clear" w:color="auto" w:fill="auto"/>
            <w:vAlign w:val="center"/>
          </w:tcPr>
          <w:p>
            <w:pPr>
              <w:keepNext/>
              <w:keepLines/>
              <w:spacing w:after="0"/>
              <w:jc w:val="center"/>
              <w:rPr>
                <w:rFonts w:ascii="Arial" w:hAnsi="Arial" w:eastAsia="宋体"/>
                <w:sz w:val="18"/>
              </w:rPr>
            </w:pPr>
          </w:p>
        </w:tc>
        <w:tc>
          <w:tcPr>
            <w:tcW w:w="1250" w:type="pct"/>
            <w:gridSpan w:val="2"/>
            <w:vAlign w:val="center"/>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23</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bottom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lang w:eastAsia="zh-CN"/>
              </w:rPr>
            </w:pPr>
            <w:r>
              <w:rPr>
                <w:rFonts w:ascii="Arial" w:hAnsi="Arial" w:eastAsia="宋体"/>
                <w:sz w:val="18"/>
                <w:lang w:eastAsia="zh-CN"/>
              </w:rPr>
              <w:t>24</w:t>
            </w:r>
          </w:p>
        </w:tc>
        <w:tc>
          <w:tcPr>
            <w:tcW w:w="1479" w:type="pct"/>
            <w:shd w:val="clear" w:color="auto" w:fill="auto"/>
          </w:tcPr>
          <w:p>
            <w:pPr>
              <w:keepNext/>
              <w:keepLines/>
              <w:spacing w:after="0"/>
              <w:jc w:val="center"/>
              <w:rPr>
                <w:rFonts w:ascii="Arial" w:hAnsi="Arial" w:eastAsia="宋体"/>
                <w:sz w:val="18"/>
              </w:rPr>
            </w:pPr>
            <w:r>
              <w:rPr>
                <w:rFonts w:ascii="Arial" w:hAnsi="Arial" w:eastAsia="宋体"/>
                <w:sz w:val="18"/>
              </w:rPr>
              <w:t>High</w:t>
            </w:r>
          </w:p>
        </w:tc>
        <w:tc>
          <w:tcPr>
            <w:tcW w:w="1048" w:type="pct"/>
            <w:tcBorders>
              <w:top w:val="nil"/>
            </w:tcBorders>
            <w:shd w:val="clear" w:color="auto" w:fill="auto"/>
          </w:tcPr>
          <w:p>
            <w:pPr>
              <w:keepNext/>
              <w:keepLines/>
              <w:spacing w:after="0"/>
              <w:jc w:val="center"/>
              <w:rPr>
                <w:rFonts w:ascii="Arial" w:hAnsi="Arial" w:eastAsia="宋体"/>
                <w:sz w:val="18"/>
              </w:rPr>
            </w:pPr>
          </w:p>
        </w:tc>
        <w:tc>
          <w:tcPr>
            <w:tcW w:w="1250" w:type="pct"/>
            <w:gridSpan w:val="2"/>
          </w:tcPr>
          <w:p>
            <w:pPr>
              <w:keepNext/>
              <w:keepLines/>
              <w:spacing w:after="0"/>
              <w:jc w:val="center"/>
              <w:rPr>
                <w:rFonts w:ascii="Arial" w:hAnsi="Arial" w:eastAsia="宋体"/>
                <w:sz w:val="18"/>
              </w:rPr>
            </w:pPr>
            <w:r>
              <w:rPr>
                <w:rFonts w:ascii="Arial" w:hAnsi="Arial" w:eastAsia="宋体"/>
                <w:sz w:val="18"/>
              </w:rPr>
              <w:t>CP-OFDM 256 QAM</w:t>
            </w:r>
          </w:p>
        </w:tc>
        <w:tc>
          <w:tcPr>
            <w:tcW w:w="918" w:type="pct"/>
            <w:shd w:val="clear" w:color="auto" w:fill="auto"/>
          </w:tcPr>
          <w:p>
            <w:pPr>
              <w:keepNext/>
              <w:keepLines/>
              <w:spacing w:after="0"/>
              <w:jc w:val="center"/>
              <w:rPr>
                <w:rFonts w:ascii="Arial" w:hAnsi="Arial" w:eastAsia="宋体"/>
                <w:sz w:val="18"/>
              </w:rPr>
            </w:pPr>
            <w:r>
              <w:rPr>
                <w:rFonts w:ascii="Arial" w:hAnsi="Arial" w:eastAsia="宋体"/>
                <w:sz w:val="18"/>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tcBorders>
              <w:bottom w:val="single" w:color="auto" w:sz="4" w:space="0"/>
            </w:tcBorders>
          </w:tcPr>
          <w:p>
            <w:pPr>
              <w:keepNext/>
              <w:keepLines/>
              <w:spacing w:after="0"/>
              <w:ind w:left="851" w:hanging="851"/>
              <w:rPr>
                <w:rFonts w:ascii="Arial" w:hAnsi="Arial" w:eastAsia="宋体"/>
                <w:sz w:val="18"/>
                <w:lang w:eastAsia="zh-CN"/>
              </w:rPr>
            </w:pPr>
            <w:r>
              <w:rPr>
                <w:rFonts w:ascii="Arial" w:hAnsi="Arial" w:eastAsia="宋体"/>
                <w:sz w:val="18"/>
                <w:lang w:eastAsia="zh-CN"/>
              </w:rPr>
              <w:t>NOTE 1:</w:t>
            </w:r>
            <w:r>
              <w:rPr>
                <w:rFonts w:ascii="Arial" w:hAnsi="Arial" w:eastAsia="宋体"/>
                <w:sz w:val="18"/>
                <w:lang w:eastAsia="zh-CN"/>
              </w:rPr>
              <w:tab/>
            </w:r>
            <w:r>
              <w:rPr>
                <w:rFonts w:ascii="Arial" w:hAnsi="Arial" w:eastAsia="宋体"/>
                <w:sz w:val="18"/>
                <w:lang w:eastAsia="zh-CN"/>
              </w:rPr>
              <w:t>The specific configuration of each RB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5"/>
      </w:pPr>
      <w:r>
        <w:t>4.</w:t>
      </w:r>
      <w:r>
        <w:tab/>
      </w:r>
      <w:r>
        <w:t xml:space="preserve">The UL Reference Measurement channels are set according to Tables 6.5D.2.3.4.1-1 as </w:t>
      </w:r>
      <w:r>
        <w:rPr>
          <w:lang w:eastAsia="zh-CN"/>
        </w:rPr>
        <w:t>appropriate for NS_35</w:t>
      </w:r>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On, Test Mode On and Test Loop Function On according to TS 38.508-1 [5] clause 4.5. Message contents are defined in clause 6.5D.2.3.4.3</w:t>
      </w:r>
    </w:p>
    <w:p>
      <w:pPr>
        <w:pStyle w:val="8"/>
      </w:pPr>
      <w:r>
        <w:t>6.5D.2.3.4.2</w:t>
      </w:r>
      <w:r>
        <w:tab/>
      </w:r>
      <w:r>
        <w:t>Test procedure</w:t>
      </w:r>
    </w:p>
    <w:p>
      <w:pPr>
        <w:pStyle w:val="75"/>
      </w:pPr>
      <w:r>
        <w:t>Same test procedure as defined in clause 6.5D.2.2.4.2 with the following exceptions:</w:t>
      </w:r>
    </w:p>
    <w:p>
      <w:pPr>
        <w:pStyle w:val="75"/>
        <w:ind w:left="284" w:firstLine="0"/>
      </w:pPr>
      <w:r>
        <w:t>-</w:t>
      </w:r>
      <w:r>
        <w:tab/>
      </w:r>
      <w:r>
        <w:t xml:space="preserve">Instead of Table 6.2D.2.5-1, Table 6.2D.3.5-1 and table 6.2D.3.5-2 for NS_04 as </w:t>
      </w:r>
      <w:del w:id="97" w:author="Yu SHI-China Unicom" w:date="2021-11-09T16:49:37Z">
        <w:r>
          <w:rPr/>
          <w:delText>approriate</w:delText>
        </w:r>
      </w:del>
      <w:ins w:id="98" w:author="Yu SHI-China Unicom" w:date="2021-11-09T16:49:37Z">
        <w:r>
          <w:rPr/>
          <w:t>appropriate</w:t>
        </w:r>
      </w:ins>
      <w:r>
        <w:t xml:space="preserve"> and table 6.2D.3.5-3 for NS_35 are applied in step 3;</w:t>
      </w:r>
    </w:p>
    <w:p>
      <w:pPr>
        <w:pStyle w:val="75"/>
        <w:ind w:left="284" w:firstLine="0"/>
      </w:pPr>
      <w:r>
        <w:t>-</w:t>
      </w:r>
      <w:r>
        <w:tab/>
      </w:r>
      <w:del w:id="99" w:author="Yu SHI-China Unicom" w:date="2021-11-09T16:49:43Z">
        <w:r>
          <w:rPr/>
          <w:delText>Intead</w:delText>
        </w:r>
      </w:del>
      <w:ins w:id="100" w:author="Yu SHI-China Unicom" w:date="2021-11-09T16:49:43Z">
        <w:r>
          <w:rPr/>
          <w:t>Instead</w:t>
        </w:r>
      </w:ins>
      <w:r>
        <w:t xml:space="preserve"> of Table 6.5D.2.2.5-1, table 6.5D.2.3.5-1 for NS_35 and table 6.5D.2.3.—3 for NS_04 and table 6.5D.2.3.5-2 are applied in step 4;</w:t>
      </w:r>
    </w:p>
    <w:p>
      <w:pPr>
        <w:pStyle w:val="8"/>
      </w:pPr>
      <w:r>
        <w:t>6.5D.2.3.4.3</w:t>
      </w:r>
      <w:r>
        <w:tab/>
      </w:r>
      <w:r>
        <w:t>Message contents</w:t>
      </w:r>
    </w:p>
    <w:p>
      <w:r>
        <w:t>Message contents are according to TS 38.508-1 [5] subclause 4.6 ensuring Table 4.6.3-182 with condition 2TX_UL_MIMO and exceptions listed in clause 6.2D.3.4.3.</w:t>
      </w:r>
    </w:p>
    <w:p>
      <w:pPr>
        <w:pStyle w:val="8"/>
      </w:pPr>
      <w:bookmarkStart w:id="312" w:name="_Toc44324305"/>
      <w:bookmarkStart w:id="313" w:name="_Toc27478306"/>
      <w:bookmarkStart w:id="314" w:name="_Toc52990499"/>
      <w:bookmarkStart w:id="315" w:name="_Toc36227020"/>
      <w:bookmarkStart w:id="316" w:name="_Toc60823711"/>
      <w:bookmarkStart w:id="317" w:name="_Toc60825632"/>
      <w:r>
        <w:t>6.5D.2.3.5</w:t>
      </w:r>
      <w:r>
        <w:tab/>
      </w:r>
      <w:r>
        <w:t>Test requirement</w:t>
      </w:r>
      <w:bookmarkEnd w:id="312"/>
      <w:bookmarkEnd w:id="313"/>
      <w:bookmarkEnd w:id="314"/>
      <w:bookmarkEnd w:id="315"/>
      <w:bookmarkEnd w:id="316"/>
      <w:bookmarkEnd w:id="317"/>
    </w:p>
    <w:p>
      <w:r>
        <w:t xml:space="preserve">The measured sum of the UE mean power in the channel bandwidth, derived in step 3 shall </w:t>
      </w:r>
      <w:del w:id="101" w:author="Yu SHI-China Unicom" w:date="2021-11-09T16:48:39Z">
        <w:r>
          <w:rPr/>
          <w:delText>fulfil</w:delText>
        </w:r>
      </w:del>
      <w:ins w:id="102" w:author="Yu SHI-China Unicom" w:date="2021-11-09T16:48:39Z">
        <w:r>
          <w:rPr/>
          <w:t>fulfill</w:t>
        </w:r>
      </w:ins>
      <w:r>
        <w:t xml:space="preserve"> the requirements as specified in clause 6.2D.3.5 for NS_35 and NS_04 as </w:t>
      </w:r>
      <w:del w:id="103" w:author="Yu SHI-China Unicom" w:date="2021-11-09T16:49:08Z">
        <w:r>
          <w:rPr/>
          <w:delText>approriate</w:delText>
        </w:r>
      </w:del>
      <w:ins w:id="104" w:author="Yu SHI-China Unicom" w:date="2021-11-09T16:49:08Z">
        <w:r>
          <w:rPr/>
          <w:t>appropriate</w:t>
        </w:r>
      </w:ins>
      <w:r>
        <w:t>, and the power of any UE emission measured at each antenna in step 4 shall</w:t>
      </w:r>
      <w:r>
        <w:rPr>
          <w:lang w:eastAsia="ja-JP"/>
        </w:rPr>
        <w:t xml:space="preserve"> </w:t>
      </w:r>
      <w:del w:id="105" w:author="Yu SHI-China Unicom" w:date="2021-11-09T16:48:36Z">
        <w:r>
          <w:rPr>
            <w:lang w:eastAsia="ja-JP"/>
          </w:rPr>
          <w:delText>fulfil</w:delText>
        </w:r>
      </w:del>
      <w:ins w:id="106" w:author="Yu SHI-China Unicom" w:date="2021-11-09T16:48:36Z">
        <w:r>
          <w:rPr>
            <w:lang w:eastAsia="ja-JP"/>
          </w:rPr>
          <w:t>fulfill</w:t>
        </w:r>
      </w:ins>
      <w:r>
        <w:rPr>
          <w:lang w:eastAsia="ja-JP"/>
        </w:rPr>
        <w:t xml:space="preserve"> requirements in </w:t>
      </w:r>
      <w:r>
        <w:t>Table</w:t>
      </w:r>
      <w:r>
        <w:rPr>
          <w:lang w:eastAsia="ja-JP"/>
        </w:rPr>
        <w:t xml:space="preserve"> 6.5D.2.3.5-1for NS_35 and </w:t>
      </w:r>
      <w:r>
        <w:t>Table 6.5D.2.3.5-3</w:t>
      </w:r>
      <w:r>
        <w:rPr>
          <w:lang w:eastAsia="ja-JP"/>
        </w:rPr>
        <w:t xml:space="preserve"> for NS_04.</w:t>
      </w:r>
    </w:p>
    <w:p>
      <w:pPr>
        <w:pStyle w:val="55"/>
      </w:pPr>
      <w:r>
        <w:t>Table 6.5D.2.3.5-1: Additional requirements for “NS_35”</w:t>
      </w:r>
    </w:p>
    <w:tbl>
      <w:tblPr>
        <w:tblStyle w:val="47"/>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794" w:type="dxa"/>
            <w:gridSpan w:val="6"/>
            <w:vAlign w:val="center"/>
          </w:tcPr>
          <w:p>
            <w:pPr>
              <w:pStyle w:val="51"/>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86" w:type="dxa"/>
          </w:tcPr>
          <w:p>
            <w:pPr>
              <w:pStyle w:val="51"/>
            </w:pPr>
            <w:r>
              <w:t>Δf</w:t>
            </w:r>
            <w:r>
              <w:rPr>
                <w:vertAlign w:val="subscript"/>
              </w:rPr>
              <w:t>OOB</w:t>
            </w:r>
          </w:p>
          <w:p>
            <w:pPr>
              <w:pStyle w:val="51"/>
            </w:pPr>
            <w:r>
              <w:t>(MHz)</w:t>
            </w:r>
          </w:p>
        </w:tc>
        <w:tc>
          <w:tcPr>
            <w:tcW w:w="850" w:type="dxa"/>
          </w:tcPr>
          <w:p>
            <w:pPr>
              <w:pStyle w:val="51"/>
            </w:pPr>
            <w:r>
              <w:t>5</w:t>
            </w:r>
          </w:p>
          <w:p>
            <w:pPr>
              <w:pStyle w:val="51"/>
            </w:pPr>
            <w:r>
              <w:t>MHz</w:t>
            </w:r>
          </w:p>
        </w:tc>
        <w:tc>
          <w:tcPr>
            <w:tcW w:w="851" w:type="dxa"/>
          </w:tcPr>
          <w:p>
            <w:pPr>
              <w:pStyle w:val="51"/>
            </w:pPr>
            <w:r>
              <w:t>10</w:t>
            </w:r>
          </w:p>
          <w:p>
            <w:pPr>
              <w:pStyle w:val="51"/>
            </w:pPr>
            <w:r>
              <w:t>MHz</w:t>
            </w:r>
          </w:p>
        </w:tc>
        <w:tc>
          <w:tcPr>
            <w:tcW w:w="757" w:type="dxa"/>
          </w:tcPr>
          <w:p>
            <w:pPr>
              <w:pStyle w:val="51"/>
            </w:pPr>
            <w:r>
              <w:t>15 MHz</w:t>
            </w:r>
          </w:p>
        </w:tc>
        <w:tc>
          <w:tcPr>
            <w:tcW w:w="810" w:type="dxa"/>
          </w:tcPr>
          <w:p>
            <w:pPr>
              <w:pStyle w:val="51"/>
            </w:pPr>
            <w:r>
              <w:t>20 MHz</w:t>
            </w:r>
          </w:p>
        </w:tc>
        <w:tc>
          <w:tcPr>
            <w:tcW w:w="1440" w:type="dxa"/>
          </w:tcPr>
          <w:p>
            <w:pPr>
              <w:pStyle w:val="51"/>
            </w:pPr>
            <w: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0-0.1</w:t>
            </w:r>
          </w:p>
        </w:tc>
        <w:tc>
          <w:tcPr>
            <w:tcW w:w="850" w:type="dxa"/>
          </w:tcPr>
          <w:p>
            <w:pPr>
              <w:pStyle w:val="52"/>
              <w:rPr>
                <w:rFonts w:cs="Arial"/>
              </w:rPr>
            </w:pPr>
            <w:r>
              <w:rPr>
                <w:rFonts w:cs="Arial"/>
              </w:rPr>
              <w:t>-15 + TT</w:t>
            </w:r>
          </w:p>
        </w:tc>
        <w:tc>
          <w:tcPr>
            <w:tcW w:w="851" w:type="dxa"/>
          </w:tcPr>
          <w:p>
            <w:pPr>
              <w:pStyle w:val="52"/>
              <w:rPr>
                <w:rFonts w:cs="Arial"/>
              </w:rPr>
            </w:pPr>
            <w:r>
              <w:rPr>
                <w:rFonts w:cs="Arial"/>
              </w:rPr>
              <w:t>-18 + TT</w:t>
            </w:r>
          </w:p>
        </w:tc>
        <w:tc>
          <w:tcPr>
            <w:tcW w:w="757" w:type="dxa"/>
          </w:tcPr>
          <w:p>
            <w:pPr>
              <w:pStyle w:val="52"/>
              <w:rPr>
                <w:rFonts w:cs="Arial"/>
              </w:rPr>
            </w:pPr>
            <w:r>
              <w:rPr>
                <w:rFonts w:cs="Arial"/>
              </w:rPr>
              <w:t>-20 + TT</w:t>
            </w:r>
          </w:p>
        </w:tc>
        <w:tc>
          <w:tcPr>
            <w:tcW w:w="810" w:type="dxa"/>
          </w:tcPr>
          <w:p>
            <w:pPr>
              <w:pStyle w:val="52"/>
              <w:rPr>
                <w:rFonts w:cs="Arial"/>
              </w:rPr>
            </w:pPr>
            <w:r>
              <w:rPr>
                <w:rFonts w:cs="Arial"/>
              </w:rPr>
              <w:t>-21 + TT</w:t>
            </w:r>
          </w:p>
        </w:tc>
        <w:tc>
          <w:tcPr>
            <w:tcW w:w="1440" w:type="dxa"/>
          </w:tcPr>
          <w:p>
            <w:pPr>
              <w:pStyle w:val="52"/>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0.1-6</w:t>
            </w:r>
          </w:p>
        </w:tc>
        <w:tc>
          <w:tcPr>
            <w:tcW w:w="850" w:type="dxa"/>
          </w:tcPr>
          <w:p>
            <w:pPr>
              <w:pStyle w:val="52"/>
              <w:rPr>
                <w:rFonts w:cs="Arial"/>
              </w:rPr>
            </w:pPr>
            <w:r>
              <w:rPr>
                <w:rFonts w:cs="Arial"/>
              </w:rPr>
              <w:t>-13 + TT</w:t>
            </w:r>
          </w:p>
        </w:tc>
        <w:tc>
          <w:tcPr>
            <w:tcW w:w="851" w:type="dxa"/>
          </w:tcPr>
          <w:p>
            <w:pPr>
              <w:pStyle w:val="52"/>
              <w:rPr>
                <w:rFonts w:cs="Arial"/>
              </w:rPr>
            </w:pPr>
            <w:r>
              <w:rPr>
                <w:rFonts w:cs="Arial"/>
              </w:rPr>
              <w:t>-13 + TT</w:t>
            </w:r>
          </w:p>
        </w:tc>
        <w:tc>
          <w:tcPr>
            <w:tcW w:w="757" w:type="dxa"/>
          </w:tcPr>
          <w:p>
            <w:pPr>
              <w:pStyle w:val="52"/>
              <w:rPr>
                <w:rFonts w:cs="Arial"/>
              </w:rPr>
            </w:pPr>
            <w:r>
              <w:rPr>
                <w:rFonts w:cs="Arial"/>
              </w:rPr>
              <w:t>-13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6-10</w:t>
            </w:r>
          </w:p>
        </w:tc>
        <w:tc>
          <w:tcPr>
            <w:tcW w:w="850" w:type="dxa"/>
          </w:tcPr>
          <w:p>
            <w:pPr>
              <w:pStyle w:val="52"/>
              <w:rPr>
                <w:rFonts w:cs="Arial"/>
              </w:rPr>
            </w:pPr>
            <w:r>
              <w:rPr>
                <w:rFonts w:cs="Arial"/>
              </w:rPr>
              <w:t>-25</w:t>
            </w:r>
            <w:r>
              <w:rPr>
                <w:rFonts w:cs="Arial"/>
                <w:vertAlign w:val="superscript"/>
              </w:rPr>
              <w:t>1</w:t>
            </w:r>
            <w:r>
              <w:rPr>
                <w:rFonts w:cs="Arial"/>
              </w:rPr>
              <w:t xml:space="preserve"> + TT</w:t>
            </w:r>
          </w:p>
        </w:tc>
        <w:tc>
          <w:tcPr>
            <w:tcW w:w="851" w:type="dxa"/>
          </w:tcPr>
          <w:p>
            <w:pPr>
              <w:pStyle w:val="52"/>
              <w:rPr>
                <w:rFonts w:cs="Arial"/>
              </w:rPr>
            </w:pPr>
            <w:r>
              <w:rPr>
                <w:rFonts w:cs="Arial"/>
              </w:rPr>
              <w:t>-13 + TT</w:t>
            </w:r>
          </w:p>
        </w:tc>
        <w:tc>
          <w:tcPr>
            <w:tcW w:w="757" w:type="dxa"/>
          </w:tcPr>
          <w:p>
            <w:pPr>
              <w:pStyle w:val="52"/>
              <w:rPr>
                <w:rFonts w:cs="Arial"/>
              </w:rPr>
            </w:pPr>
            <w:r>
              <w:rPr>
                <w:rFonts w:cs="Arial"/>
              </w:rPr>
              <w:t>-13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10-15</w:t>
            </w:r>
          </w:p>
        </w:tc>
        <w:tc>
          <w:tcPr>
            <w:tcW w:w="850" w:type="dxa"/>
          </w:tcPr>
          <w:p>
            <w:pPr>
              <w:pStyle w:val="52"/>
              <w:rPr>
                <w:rFonts w:cs="Arial"/>
              </w:rPr>
            </w:pPr>
          </w:p>
        </w:tc>
        <w:tc>
          <w:tcPr>
            <w:tcW w:w="851" w:type="dxa"/>
          </w:tcPr>
          <w:p>
            <w:pPr>
              <w:pStyle w:val="52"/>
              <w:rPr>
                <w:rFonts w:cs="Arial"/>
              </w:rPr>
            </w:pPr>
            <w:r>
              <w:rPr>
                <w:rFonts w:cs="Arial"/>
              </w:rPr>
              <w:t>-25</w:t>
            </w:r>
            <w:r>
              <w:rPr>
                <w:rFonts w:cs="Arial"/>
                <w:vertAlign w:val="superscript"/>
              </w:rPr>
              <w:t xml:space="preserve">1 </w:t>
            </w:r>
            <w:r>
              <w:rPr>
                <w:rFonts w:cs="Arial"/>
              </w:rPr>
              <w:t>+ TT</w:t>
            </w:r>
          </w:p>
        </w:tc>
        <w:tc>
          <w:tcPr>
            <w:tcW w:w="757" w:type="dxa"/>
          </w:tcPr>
          <w:p>
            <w:pPr>
              <w:pStyle w:val="52"/>
              <w:rPr>
                <w:rFonts w:cs="Arial"/>
              </w:rPr>
            </w:pPr>
            <w:r>
              <w:rPr>
                <w:rFonts w:cs="Arial"/>
              </w:rPr>
              <w:t>-13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15-20</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r>
              <w:rPr>
                <w:rFonts w:cs="Arial"/>
              </w:rPr>
              <w:t>-25</w:t>
            </w:r>
            <w:r>
              <w:rPr>
                <w:rFonts w:cs="Arial"/>
                <w:vertAlign w:val="superscript"/>
              </w:rPr>
              <w:t>1</w:t>
            </w:r>
            <w:r>
              <w:rPr>
                <w:rFonts w:cs="Arial"/>
              </w:rPr>
              <w:t xml:space="preserve"> + TT</w:t>
            </w:r>
          </w:p>
        </w:tc>
        <w:tc>
          <w:tcPr>
            <w:tcW w:w="810" w:type="dxa"/>
          </w:tcPr>
          <w:p>
            <w:pPr>
              <w:pStyle w:val="52"/>
              <w:rPr>
                <w:rFonts w:cs="Arial"/>
              </w:rPr>
            </w:pPr>
            <w:r>
              <w:rPr>
                <w:rFonts w:cs="Arial"/>
              </w:rPr>
              <w:t>-13 + TT</w:t>
            </w:r>
          </w:p>
        </w:tc>
        <w:tc>
          <w:tcPr>
            <w:tcW w:w="1440" w:type="dxa"/>
          </w:tcPr>
          <w:p>
            <w:pPr>
              <w:pStyle w:val="5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rPr>
            </w:pPr>
            <w:r>
              <w:rPr>
                <w:rFonts w:cs="Arial"/>
              </w:rPr>
              <w:sym w:font="Symbol" w:char="F0B1"/>
            </w:r>
            <w:r>
              <w:rPr>
                <w:rFonts w:cs="Arial"/>
              </w:rPr>
              <w:t xml:space="preserve"> 20-25</w:t>
            </w:r>
          </w:p>
        </w:tc>
        <w:tc>
          <w:tcPr>
            <w:tcW w:w="850" w:type="dxa"/>
          </w:tcPr>
          <w:p>
            <w:pPr>
              <w:pStyle w:val="52"/>
              <w:rPr>
                <w:rFonts w:cs="Arial"/>
              </w:rPr>
            </w:pPr>
          </w:p>
        </w:tc>
        <w:tc>
          <w:tcPr>
            <w:tcW w:w="851" w:type="dxa"/>
          </w:tcPr>
          <w:p>
            <w:pPr>
              <w:pStyle w:val="52"/>
              <w:rPr>
                <w:rFonts w:cs="Arial"/>
              </w:rPr>
            </w:pPr>
          </w:p>
        </w:tc>
        <w:tc>
          <w:tcPr>
            <w:tcW w:w="757" w:type="dxa"/>
          </w:tcPr>
          <w:p>
            <w:pPr>
              <w:pStyle w:val="52"/>
              <w:rPr>
                <w:rFonts w:cs="Arial"/>
              </w:rPr>
            </w:pPr>
          </w:p>
        </w:tc>
        <w:tc>
          <w:tcPr>
            <w:tcW w:w="810" w:type="dxa"/>
          </w:tcPr>
          <w:p>
            <w:pPr>
              <w:pStyle w:val="52"/>
              <w:rPr>
                <w:rFonts w:cs="Arial"/>
              </w:rPr>
            </w:pPr>
            <w:r>
              <w:rPr>
                <w:rFonts w:cs="Arial"/>
              </w:rPr>
              <w:t>-25 + TT</w:t>
            </w:r>
          </w:p>
        </w:tc>
        <w:tc>
          <w:tcPr>
            <w:tcW w:w="1440" w:type="dxa"/>
          </w:tcPr>
          <w:p>
            <w:pPr>
              <w:pStyle w:val="52"/>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94" w:type="dxa"/>
            <w:gridSpan w:val="6"/>
          </w:tcPr>
          <w:p>
            <w:pPr>
              <w:pStyle w:val="66"/>
            </w:pPr>
            <w:r>
              <w:t>NOTE 1:</w:t>
            </w:r>
            <w:r>
              <w:tab/>
            </w:r>
            <w:r>
              <w:t>The measurement bandwidth shall be 1 MHz;</w:t>
            </w:r>
          </w:p>
          <w:p>
            <w:pPr>
              <w:pStyle w:val="66"/>
            </w:pPr>
            <w:r>
              <w:t>NOTE 2:</w:t>
            </w:r>
            <w:r>
              <w:tab/>
            </w:r>
            <w:r>
              <w:t>TT for each frequency and channel bandwidth is specified in Table 6.5D.2.3.5-2</w:t>
            </w:r>
          </w:p>
        </w:tc>
      </w:tr>
    </w:tbl>
    <w:p/>
    <w:p>
      <w:pPr>
        <w:pStyle w:val="55"/>
      </w:pPr>
      <w:r>
        <w:t>Table 6.5D.2.3.5-2: Test Tolerance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rPr>
                <w:rFonts w:cs="Arial"/>
                <w:bCs/>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ja-JP"/>
              </w:rPr>
              <w:t>1.8 dB</w:t>
            </w:r>
          </w:p>
        </w:tc>
      </w:tr>
    </w:tbl>
    <w:p/>
    <w:p>
      <w:pPr>
        <w:pStyle w:val="55"/>
      </w:pPr>
      <w:bookmarkStart w:id="318" w:name="OLE_LINK320"/>
      <w:r>
        <w:t>Table</w:t>
      </w:r>
      <w:bookmarkStart w:id="319" w:name="OLE_LINK317"/>
      <w:bookmarkStart w:id="320" w:name="OLE_LINK316"/>
      <w:r>
        <w:t xml:space="preserve"> 6.5D.2.3.5-</w:t>
      </w:r>
      <w:bookmarkEnd w:id="319"/>
      <w:bookmarkEnd w:id="320"/>
      <w:r>
        <w:t>3</w:t>
      </w:r>
      <w:bookmarkEnd w:id="318"/>
      <w:r>
        <w:t>: Additional requirements for “NS_04”</w:t>
      </w:r>
    </w:p>
    <w:tbl>
      <w:tblPr>
        <w:tblStyle w:val="47"/>
        <w:tblW w:w="10536" w:type="dxa"/>
        <w:jc w:val="center"/>
        <w:tblLayout w:type="autofit"/>
        <w:tblCellMar>
          <w:top w:w="0" w:type="dxa"/>
          <w:left w:w="70" w:type="dxa"/>
          <w:bottom w:w="0" w:type="dxa"/>
          <w:right w:w="70" w:type="dxa"/>
        </w:tblCellMar>
      </w:tblPr>
      <w:tblGrid>
        <w:gridCol w:w="2143"/>
        <w:gridCol w:w="855"/>
        <w:gridCol w:w="989"/>
        <w:gridCol w:w="894"/>
        <w:gridCol w:w="894"/>
        <w:gridCol w:w="552"/>
        <w:gridCol w:w="551"/>
        <w:gridCol w:w="552"/>
        <w:gridCol w:w="552"/>
        <w:gridCol w:w="552"/>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pPr>
          </w:p>
        </w:tc>
        <w:tc>
          <w:tcPr>
            <w:tcW w:w="8393" w:type="dxa"/>
            <w:gridSpan w:val="10"/>
            <w:tcBorders>
              <w:top w:val="single" w:color="auto" w:sz="4" w:space="0"/>
              <w:left w:val="single" w:color="auto" w:sz="4" w:space="0"/>
              <w:bottom w:val="single" w:color="auto" w:sz="4" w:space="0"/>
              <w:right w:val="single" w:color="auto" w:sz="4" w:space="0"/>
            </w:tcBorders>
            <w:vAlign w:val="center"/>
          </w:tcPr>
          <w:p>
            <w:pPr>
              <w:pStyle w:val="51"/>
            </w:pPr>
            <w:r>
              <w:t xml:space="preserve">Spectrum emission limit (dBm) / measurement bandwidth </w:t>
            </w:r>
          </w:p>
          <w:p>
            <w:pPr>
              <w:pStyle w:val="51"/>
            </w:pPr>
            <w: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pPr>
            <w:r>
              <w:t>Δf</w:t>
            </w:r>
            <w:r>
              <w:rPr>
                <w:vertAlign w:val="subscript"/>
              </w:rPr>
              <w:t>OOB</w:t>
            </w:r>
            <w:r>
              <w:t xml:space="preserve"> </w:t>
            </w:r>
            <w:r>
              <w:br w:type="textWrapping"/>
            </w:r>
            <w:r>
              <w:t>MHz</w:t>
            </w:r>
          </w:p>
        </w:tc>
        <w:tc>
          <w:tcPr>
            <w:tcW w:w="855" w:type="dxa"/>
            <w:tcBorders>
              <w:top w:val="single" w:color="auto" w:sz="4" w:space="0"/>
              <w:left w:val="nil"/>
              <w:bottom w:val="single" w:color="auto" w:sz="4" w:space="0"/>
              <w:right w:val="single" w:color="auto" w:sz="4" w:space="0"/>
            </w:tcBorders>
            <w:vAlign w:val="center"/>
          </w:tcPr>
          <w:p>
            <w:pPr>
              <w:pStyle w:val="51"/>
            </w:pPr>
            <w:r>
              <w:t xml:space="preserve">10 </w:t>
            </w:r>
            <w:r>
              <w:br w:type="textWrapping"/>
            </w:r>
            <w:r>
              <w:t>MHz</w:t>
            </w:r>
          </w:p>
        </w:tc>
        <w:tc>
          <w:tcPr>
            <w:tcW w:w="915" w:type="dxa"/>
            <w:tcBorders>
              <w:top w:val="single" w:color="auto" w:sz="4" w:space="0"/>
              <w:left w:val="nil"/>
              <w:bottom w:val="single" w:color="auto" w:sz="4" w:space="0"/>
              <w:right w:val="single" w:color="auto" w:sz="4" w:space="0"/>
            </w:tcBorders>
            <w:vAlign w:val="center"/>
          </w:tcPr>
          <w:p>
            <w:pPr>
              <w:pStyle w:val="51"/>
            </w:pPr>
            <w:r>
              <w:t xml:space="preserve">15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20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40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50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60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80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 xml:space="preserve">90 </w:t>
            </w:r>
            <w:r>
              <w:br w:type="textWrapping"/>
            </w: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 xml:space="preserve">100 </w:t>
            </w:r>
            <w:r>
              <w:br w:type="textWrapping"/>
            </w:r>
            <w:r>
              <w:t>MHz</w:t>
            </w:r>
          </w:p>
        </w:tc>
        <w:tc>
          <w:tcPr>
            <w:tcW w:w="0" w:type="auto"/>
            <w:tcBorders>
              <w:top w:val="single" w:color="auto" w:sz="4" w:space="0"/>
              <w:left w:val="nil"/>
              <w:bottom w:val="single" w:color="auto" w:sz="4" w:space="0"/>
              <w:right w:val="single" w:color="auto" w:sz="4" w:space="0"/>
            </w:tcBorders>
            <w:vAlign w:val="center"/>
          </w:tcPr>
          <w:p>
            <w:pPr>
              <w:pStyle w:val="51"/>
            </w:pPr>
            <w:r>
              <w:t>Measurement</w:t>
            </w:r>
            <w:r>
              <w:br w:type="textWrapping"/>
            </w:r>
            <w: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r>
              <w:t>± 0 - 1</w:t>
            </w:r>
          </w:p>
        </w:tc>
        <w:tc>
          <w:tcPr>
            <w:tcW w:w="855" w:type="dxa"/>
            <w:tcBorders>
              <w:top w:val="nil"/>
              <w:left w:val="nil"/>
              <w:bottom w:val="single" w:color="auto" w:sz="4" w:space="0"/>
              <w:right w:val="single" w:color="auto" w:sz="4" w:space="0"/>
            </w:tcBorders>
            <w:noWrap/>
            <w:vAlign w:val="center"/>
          </w:tcPr>
          <w:p>
            <w:pPr>
              <w:pStyle w:val="52"/>
            </w:pPr>
            <w:r>
              <w:t>-10 + TT</w:t>
            </w:r>
          </w:p>
        </w:tc>
        <w:tc>
          <w:tcPr>
            <w:tcW w:w="915" w:type="dxa"/>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tcPr>
          <w:p>
            <w:pPr>
              <w:pStyle w:val="52"/>
            </w:pPr>
            <w: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pPr>
          </w:p>
        </w:tc>
        <w:tc>
          <w:tcPr>
            <w:tcW w:w="855" w:type="dxa"/>
            <w:tcBorders>
              <w:top w:val="nil"/>
              <w:left w:val="nil"/>
              <w:bottom w:val="single" w:color="auto" w:sz="4" w:space="0"/>
              <w:right w:val="single" w:color="auto" w:sz="4" w:space="0"/>
            </w:tcBorders>
            <w:noWrap/>
            <w:vAlign w:val="center"/>
          </w:tcPr>
          <w:p>
            <w:pPr>
              <w:pStyle w:val="52"/>
            </w:pPr>
          </w:p>
        </w:tc>
        <w:tc>
          <w:tcPr>
            <w:tcW w:w="915" w:type="dxa"/>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single" w:color="auto" w:sz="4" w:space="0"/>
            </w:tcBorders>
            <w:noWrap/>
            <w:vAlign w:val="center"/>
          </w:tcPr>
          <w:p>
            <w:pPr>
              <w:pStyle w:val="52"/>
            </w:pPr>
          </w:p>
        </w:tc>
        <w:tc>
          <w:tcPr>
            <w:tcW w:w="0" w:type="auto"/>
            <w:tcBorders>
              <w:top w:val="nil"/>
              <w:left w:val="nil"/>
              <w:bottom w:val="single" w:color="auto" w:sz="4" w:space="0"/>
              <w:right w:val="nil"/>
            </w:tcBorders>
          </w:tcPr>
          <w:p>
            <w:pPr>
              <w:pStyle w:val="52"/>
            </w:pPr>
          </w:p>
        </w:tc>
        <w:tc>
          <w:tcPr>
            <w:tcW w:w="0" w:type="auto"/>
            <w:gridSpan w:val="4"/>
            <w:tcBorders>
              <w:top w:val="nil"/>
              <w:left w:val="nil"/>
              <w:bottom w:val="single" w:color="auto" w:sz="4" w:space="0"/>
              <w:right w:val="single" w:color="auto" w:sz="4" w:space="0"/>
            </w:tcBorders>
            <w:noWrap/>
            <w:vAlign w:val="center"/>
          </w:tcPr>
          <w:p>
            <w:pPr>
              <w:pStyle w:val="52"/>
            </w:pPr>
            <w:r>
              <w:t>-10 + TT</w:t>
            </w:r>
          </w:p>
        </w:tc>
        <w:tc>
          <w:tcPr>
            <w:tcW w:w="0" w:type="auto"/>
            <w:tcBorders>
              <w:top w:val="nil"/>
              <w:left w:val="nil"/>
              <w:bottom w:val="single" w:color="auto" w:sz="4" w:space="0"/>
              <w:right w:val="single" w:color="auto" w:sz="4" w:space="0"/>
            </w:tcBorders>
            <w:noWrap/>
          </w:tcPr>
          <w:p>
            <w:pPr>
              <w:pStyle w:val="52"/>
            </w:pPr>
            <w: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pPr>
            <w:r>
              <w:t>± 1 - 5</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-10 + TT</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pPr>
            <w: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5 - X</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-13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pPr>
            <w:r>
              <w:t>± X - (BW</w:t>
            </w:r>
            <w:r>
              <w:rPr>
                <w:vertAlign w:val="subscript"/>
              </w:rPr>
              <w:t>Channel</w:t>
            </w:r>
            <w:r>
              <w:t xml:space="preserve"> + 5 MHz)</w:t>
            </w:r>
          </w:p>
        </w:tc>
        <w:tc>
          <w:tcPr>
            <w:tcW w:w="855" w:type="dxa"/>
            <w:tcBorders>
              <w:top w:val="single" w:color="auto" w:sz="4" w:space="0"/>
              <w:left w:val="nil"/>
              <w:bottom w:val="single" w:color="auto" w:sz="4" w:space="0"/>
              <w:right w:val="nil"/>
            </w:tcBorders>
          </w:tcPr>
          <w:p>
            <w:pPr>
              <w:pStyle w:val="52"/>
            </w:pPr>
          </w:p>
        </w:tc>
        <w:tc>
          <w:tcPr>
            <w:tcW w:w="5536" w:type="dxa"/>
            <w:gridSpan w:val="8"/>
            <w:tcBorders>
              <w:top w:val="single" w:color="auto" w:sz="4" w:space="0"/>
              <w:left w:val="nil"/>
              <w:bottom w:val="single" w:color="auto" w:sz="4" w:space="0"/>
              <w:right w:val="single" w:color="auto" w:sz="4" w:space="0"/>
            </w:tcBorders>
            <w:noWrap/>
            <w:vAlign w:val="center"/>
          </w:tcPr>
          <w:p>
            <w:pPr>
              <w:pStyle w:val="52"/>
            </w:pPr>
            <w:r>
              <w:t>-25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6.5D.2.3.5-3a for CP-OFDM</w:t>
            </w:r>
          </w:p>
          <w:p>
            <w:pPr>
              <w:pStyle w:val="66"/>
            </w:pPr>
            <w:r>
              <w:t>NOTE 2:</w:t>
            </w:r>
            <w:r>
              <w:tab/>
            </w:r>
            <w:r>
              <w:t>TT for each frequency and channel bandwidth is specified in Table 6.5D.2.3.5-2.</w:t>
            </w:r>
          </w:p>
        </w:tc>
      </w:tr>
    </w:tbl>
    <w:p>
      <w:pPr>
        <w:rPr>
          <w:rFonts w:eastAsia="宋体"/>
        </w:rPr>
      </w:pPr>
    </w:p>
    <w:p>
      <w:pPr>
        <w:pStyle w:val="55"/>
      </w:pPr>
      <w:r>
        <w:t>Table 6.5D.2.3.5-3a: n41 maximum transmission bandwidths (MHz) for CP-OFDM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SCS (kHz)</w:t>
            </w:r>
          </w:p>
        </w:tc>
        <w:tc>
          <w:tcPr>
            <w:tcW w:w="5903" w:type="dxa"/>
            <w:gridSpan w:val="9"/>
            <w:tcBorders>
              <w:top w:val="single" w:color="auto" w:sz="4" w:space="0"/>
              <w:left w:val="single" w:color="auto" w:sz="4" w:space="0"/>
              <w:bottom w:val="single" w:color="auto" w:sz="4" w:space="0"/>
              <w:right w:val="single" w:color="auto" w:sz="4" w:space="0"/>
            </w:tcBorders>
          </w:tcPr>
          <w:p>
            <w:pPr>
              <w:pStyle w:val="51"/>
            </w:pPr>
            <w: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20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60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80</w:t>
            </w:r>
          </w:p>
        </w:tc>
        <w:tc>
          <w:tcPr>
            <w:tcW w:w="667" w:type="dxa"/>
            <w:tcBorders>
              <w:top w:val="single" w:color="auto" w:sz="4" w:space="0"/>
              <w:left w:val="single" w:color="auto" w:sz="4" w:space="0"/>
              <w:bottom w:val="single" w:color="auto" w:sz="4" w:space="0"/>
              <w:right w:val="single" w:color="auto" w:sz="4" w:space="0"/>
            </w:tcBorders>
          </w:tcPr>
          <w:p>
            <w:pPr>
              <w:pStyle w:val="51"/>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15</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19.08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c>
          <w:tcPr>
            <w:tcW w:w="667" w:type="dxa"/>
            <w:tcBorders>
              <w:top w:val="single" w:color="auto" w:sz="4" w:space="0"/>
              <w:left w:val="single" w:color="auto" w:sz="4" w:space="0"/>
              <w:bottom w:val="single" w:color="auto" w:sz="4" w:space="0"/>
              <w:right w:val="single" w:color="auto" w:sz="4" w:space="0"/>
            </w:tcBorders>
          </w:tcPr>
          <w:p>
            <w:pPr>
              <w:pStyle w:val="52"/>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18.36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58.32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78.12</w:t>
            </w:r>
          </w:p>
        </w:tc>
        <w:tc>
          <w:tcPr>
            <w:tcW w:w="667" w:type="dxa"/>
            <w:tcBorders>
              <w:top w:val="single" w:color="auto" w:sz="4" w:space="0"/>
              <w:left w:val="single" w:color="auto" w:sz="4" w:space="0"/>
              <w:bottom w:val="single" w:color="auto" w:sz="4" w:space="0"/>
              <w:right w:val="single" w:color="auto" w:sz="4" w:space="0"/>
            </w:tcBorders>
          </w:tcPr>
          <w:p>
            <w:pPr>
              <w:pStyle w:val="52"/>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60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17.28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56.88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77.04</w:t>
            </w:r>
          </w:p>
        </w:tc>
        <w:tc>
          <w:tcPr>
            <w:tcW w:w="667" w:type="dxa"/>
            <w:tcBorders>
              <w:top w:val="single" w:color="auto" w:sz="4" w:space="0"/>
              <w:left w:val="single" w:color="auto" w:sz="4" w:space="0"/>
              <w:bottom w:val="single" w:color="auto" w:sz="4" w:space="0"/>
              <w:right w:val="single" w:color="auto" w:sz="4" w:space="0"/>
            </w:tcBorders>
          </w:tcPr>
          <w:p>
            <w:pPr>
              <w:pStyle w:val="52"/>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97.20</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4"/>
        <w:ind w:left="0" w:leftChars="0" w:firstLine="0" w:firstLineChars="0"/>
        <w:rPr>
          <w:color w:val="FF0000"/>
        </w:rPr>
      </w:pPr>
    </w:p>
    <w:p/>
    <w:p>
      <w:pPr>
        <w:pStyle w:val="4"/>
        <w:rPr>
          <w:color w:val="FF0000"/>
        </w:rPr>
      </w:pPr>
      <w:r>
        <w:rPr>
          <w:color w:val="FF0000"/>
        </w:rPr>
        <w:t>&lt;</w:t>
      </w:r>
      <w:r>
        <w:rPr>
          <w:rFonts w:hint="eastAsia"/>
          <w:color w:val="FF0000"/>
          <w:lang w:val="en-US" w:eastAsia="zh-Hans"/>
        </w:rPr>
        <w:t>End</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宋体-简">
    <w:panose1 w:val="02010800040101010101"/>
    <w:charset w:val="86"/>
    <w:family w:val="auto"/>
    <w:pitch w:val="default"/>
    <w:sig w:usb0="00000001" w:usb1="080F0000" w:usb2="00000000" w:usb3="00000000" w:csb0="00040000" w:csb1="00000000"/>
  </w:font>
  <w:font w:name="MS Mincho">
    <w:altName w:val="Hiragino Sans"/>
    <w:panose1 w:val="02020609040205080304"/>
    <w:charset w:val="80"/>
    <w:family w:val="roman"/>
    <w:pitch w:val="default"/>
    <w:sig w:usb0="00000000" w:usb1="00000000" w:usb2="00000010" w:usb3="00000000" w:csb0="00020000"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Unicode MS">
    <w:panose1 w:val="020B0604020202020204"/>
    <w:charset w:val="86"/>
    <w:family w:val="swiss"/>
    <w:pitch w:val="default"/>
    <w:sig w:usb0="FFFFFFFF" w:usb1="E9FFFFFF" w:usb2="0000003F" w:usb3="00000000" w:csb0="603F01FF" w:csb1="FFFF0000"/>
  </w:font>
  <w:font w:name="TimesNewRomanPSMT">
    <w:panose1 w:val="02020503050405090304"/>
    <w:charset w:val="00"/>
    <w:family w:val="roman"/>
    <w:pitch w:val="default"/>
    <w:sig w:usb0="E0000AFF" w:usb1="00007843" w:usb2="00000001" w:usb3="00000000" w:csb0="400001BF" w:csb1="DFF70000"/>
  </w:font>
  <w:font w:name="Microsoft Sans Serif">
    <w:panose1 w:val="020B0604020202020204"/>
    <w:charset w:val="00"/>
    <w:family w:val="swiss"/>
    <w:pitch w:val="default"/>
    <w:sig w:usb0="E1002AFF" w:usb1="C0000002" w:usb2="00000008" w:usb3="00000000" w:csb0="200101FF" w:csb1="20280000"/>
  </w:font>
  <w:font w:name="(Asiatische Schriftart verwende">
    <w:altName w:val="苹方-简"/>
    <w:panose1 w:val="00000000000000000000"/>
    <w:charset w:val="00"/>
    <w:family w:val="roman"/>
    <w:pitch w:val="default"/>
    <w:sig w:usb0="00000000" w:usb1="00000000" w:usb2="00000000" w:usb3="00000000" w:csb0="00000000" w:csb1="00000000"/>
  </w:font>
  <w:font w:name="Mathematica1">
    <w:altName w:val="Thonburi"/>
    <w:panose1 w:val="00000000000000000000"/>
    <w:charset w:val="02"/>
    <w:family w:val="auto"/>
    <w:pitch w:val="default"/>
    <w:sig w:usb0="00000000" w:usb1="00000000" w:usb2="00000000" w:usb3="00000000" w:csb0="80000000" w:csb1="00000000"/>
  </w:font>
  <w:font w:name="Apple Symbols">
    <w:panose1 w:val="02000000000000000000"/>
    <w:charset w:val="00"/>
    <w:family w:val="auto"/>
    <w:pitch w:val="default"/>
    <w:sig w:usb0="800000A3" w:usb1="08007BEB" w:usb2="01840034" w:usb3="0000A268" w:csb0="200001FB" w:csb1="DDFF0000"/>
  </w:font>
  <w:font w:name="儷宋 Pro">
    <w:panose1 w:val="02020300000000000000"/>
    <w:charset w:val="88"/>
    <w:family w:val="auto"/>
    <w:pitch w:val="default"/>
    <w:sig w:usb0="80000001" w:usb1="28091800" w:usb2="00000016" w:usb3="00000000" w:csb0="00100000" w:csb1="00000000"/>
  </w:font>
  <w:font w:name="华文仿宋">
    <w:panose1 w:val="02010600040101010101"/>
    <w:charset w:val="86"/>
    <w:family w:val="auto"/>
    <w:pitch w:val="default"/>
    <w:sig w:usb0="00000287" w:usb1="080F0000" w:usb2="00000000" w:usb3="00000000" w:csb0="0004009F" w:csb1="DFD70000"/>
  </w:font>
  <w:font w:name="Webdings">
    <w:panose1 w:val="05030102010509060703"/>
    <w:charset w:val="00"/>
    <w:family w:val="auto"/>
    <w:pitch w:val="default"/>
    <w:sig w:usb0="00000000" w:usb1="00000000" w:usb2="00000000" w:usb3="00000000" w:csb0="80000000" w:csb1="00000000"/>
  </w:font>
  <w:font w:name="SimHei">
    <w:altName w:val="汉仪中黑KW"/>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BD37F47"/>
    <w:rsid w:val="6DFB64EA"/>
    <w:rsid w:val="BF6F7B21"/>
    <w:rsid w:val="FFD61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yushi</cp:lastModifiedBy>
  <cp:lastPrinted>1900-01-01T23:00:00Z</cp:lastPrinted>
  <dcterms:modified xsi:type="dcterms:W3CDTF">2021-11-09T16:59:24Z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R5-217684</vt:lpwstr>
  </property>
  <property fmtid="{D5CDD505-2E9C-101B-9397-08002B2CF9AE}" pid="10" name="Spec#">
    <vt:lpwstr>38.521-1</vt:lpwstr>
  </property>
  <property fmtid="{D5CDD505-2E9C-101B-9397-08002B2CF9AE}" pid="11" name="Cr#">
    <vt:lpwstr>1476</vt:lpwstr>
  </property>
  <property fmtid="{D5CDD505-2E9C-101B-9397-08002B2CF9AE}" pid="12" name="Revision">
    <vt:lpwstr>-</vt:lpwstr>
  </property>
  <property fmtid="{D5CDD505-2E9C-101B-9397-08002B2CF9AE}" pid="13" name="Version">
    <vt:lpwstr>17.2.1</vt:lpwstr>
  </property>
  <property fmtid="{D5CDD505-2E9C-101B-9397-08002B2CF9AE}" pid="14" name="CrTitle">
    <vt:lpwstr>38.521-1_Corrections of test cases having impact on ETSI EN 301 908 25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